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AD498" w14:textId="76CDF83F" w:rsidR="006E4188" w:rsidRPr="00D12BF7" w:rsidRDefault="006E4188" w:rsidP="006E4188">
      <w:pPr>
        <w:spacing w:after="0"/>
        <w:jc w:val="both"/>
        <w:rPr>
          <w:sz w:val="24"/>
          <w:lang w:val="en-US"/>
        </w:rPr>
      </w:pPr>
      <w:bookmarkStart w:id="0" w:name="_Hlk524960236"/>
      <w:bookmarkStart w:id="1" w:name="_GoBack"/>
      <w:bookmarkEnd w:id="1"/>
      <w:r w:rsidRPr="00A67019">
        <w:rPr>
          <w:rFonts w:ascii="Arial" w:hAnsi="Arial"/>
          <w:b/>
          <w:sz w:val="24"/>
          <w:lang w:val="en-US" w:eastAsia="zh-CN"/>
        </w:rPr>
        <w:t>3GPP TSG-RAN WG1</w:t>
      </w:r>
      <w:r w:rsidR="008515AD">
        <w:rPr>
          <w:rFonts w:ascii="Arial" w:hAnsi="Arial"/>
          <w:b/>
          <w:sz w:val="24"/>
          <w:lang w:eastAsia="zh-CN"/>
        </w:rPr>
        <w:t>#96</w:t>
      </w:r>
      <w:r w:rsidRPr="00A67019">
        <w:rPr>
          <w:rFonts w:ascii="Arial" w:hAnsi="Arial"/>
          <w:b/>
          <w:sz w:val="24"/>
          <w:lang w:val="en-US" w:eastAsia="zh-CN"/>
        </w:rPr>
        <w:tab/>
      </w:r>
      <w:r w:rsidRPr="00D12BF7">
        <w:rPr>
          <w:rFonts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sidR="008515AD" w:rsidRPr="008515AD">
        <w:rPr>
          <w:rFonts w:ascii="Arial" w:hAnsi="Arial"/>
          <w:b/>
          <w:sz w:val="24"/>
          <w:lang w:val="en-US" w:eastAsia="zh-CN"/>
        </w:rPr>
        <w:t>R1-1902885</w:t>
      </w:r>
    </w:p>
    <w:p w14:paraId="636AD29D" w14:textId="77777777" w:rsidR="006E4188" w:rsidRPr="005B5E25" w:rsidRDefault="006E4188" w:rsidP="006E4188">
      <w:pPr>
        <w:pStyle w:val="3GPPHeader"/>
        <w:spacing w:after="0"/>
      </w:pPr>
      <w:r>
        <w:rPr>
          <w:lang w:val="en-US"/>
        </w:rPr>
        <w:t xml:space="preserve">Athens, 25 February – 1 </w:t>
      </w:r>
      <w:proofErr w:type="gramStart"/>
      <w:r>
        <w:rPr>
          <w:lang w:val="en-US"/>
        </w:rPr>
        <w:t>March,</w:t>
      </w:r>
      <w:proofErr w:type="gramEnd"/>
      <w:r>
        <w:rPr>
          <w:lang w:val="en-US"/>
        </w:rPr>
        <w:t xml:space="preserve"> 2019</w:t>
      </w:r>
    </w:p>
    <w:bookmarkEnd w:id="0"/>
    <w:p w14:paraId="54B9A8A9" w14:textId="77777777" w:rsidR="002D43A9" w:rsidRPr="00F23F29" w:rsidRDefault="002D43A9" w:rsidP="002D43A9">
      <w:pPr>
        <w:pStyle w:val="3GPPHeader"/>
        <w:rPr>
          <w:lang w:val="en-US"/>
        </w:rPr>
      </w:pPr>
    </w:p>
    <w:p w14:paraId="718839F4" w14:textId="1543A443" w:rsidR="002D43A9" w:rsidRPr="00996081" w:rsidRDefault="002D43A9" w:rsidP="002D43A9">
      <w:pPr>
        <w:pStyle w:val="3GPPHeader"/>
        <w:rPr>
          <w:sz w:val="22"/>
          <w:lang w:val="en-US"/>
        </w:rPr>
      </w:pPr>
      <w:r w:rsidRPr="00996081">
        <w:rPr>
          <w:sz w:val="22"/>
          <w:lang w:val="en-US"/>
        </w:rPr>
        <w:t>Agenda Item:</w:t>
      </w:r>
      <w:r w:rsidRPr="00996081">
        <w:rPr>
          <w:sz w:val="22"/>
          <w:lang w:val="en-US"/>
        </w:rPr>
        <w:tab/>
      </w:r>
      <w:r w:rsidR="004A64E5" w:rsidRPr="00996081">
        <w:rPr>
          <w:sz w:val="22"/>
          <w:lang w:val="en-US"/>
        </w:rPr>
        <w:t>7.2.2.</w:t>
      </w:r>
      <w:r w:rsidR="00F23F29" w:rsidRPr="00996081">
        <w:rPr>
          <w:sz w:val="22"/>
          <w:lang w:val="en-US"/>
        </w:rPr>
        <w:t>2</w:t>
      </w:r>
      <w:r w:rsidR="004A64E5" w:rsidRPr="00996081">
        <w:rPr>
          <w:sz w:val="22"/>
          <w:lang w:val="en-US"/>
        </w:rPr>
        <w:t>.3</w:t>
      </w:r>
    </w:p>
    <w:p w14:paraId="12242853" w14:textId="77777777" w:rsidR="002D43A9" w:rsidRPr="004D1DC2" w:rsidRDefault="002D43A9" w:rsidP="002D43A9">
      <w:pPr>
        <w:pStyle w:val="3GPPHeader"/>
        <w:rPr>
          <w:sz w:val="22"/>
        </w:rPr>
      </w:pPr>
      <w:r w:rsidRPr="00996081">
        <w:rPr>
          <w:sz w:val="22"/>
        </w:rPr>
        <w:t>Source:</w:t>
      </w:r>
      <w:r w:rsidRPr="00996081">
        <w:rPr>
          <w:sz w:val="22"/>
        </w:rPr>
        <w:tab/>
        <w:t>Ericsson</w:t>
      </w:r>
    </w:p>
    <w:p w14:paraId="2467EAC2" w14:textId="7C09B851" w:rsidR="00E90E49" w:rsidRPr="004D1DC2" w:rsidRDefault="003D3C45" w:rsidP="00C30876">
      <w:pPr>
        <w:pStyle w:val="3GPPHeader"/>
        <w:rPr>
          <w:sz w:val="22"/>
        </w:rPr>
      </w:pPr>
      <w:r w:rsidRPr="004D1DC2">
        <w:rPr>
          <w:sz w:val="22"/>
        </w:rPr>
        <w:t>Title:</w:t>
      </w:r>
      <w:r w:rsidR="00E90E49" w:rsidRPr="004D1DC2">
        <w:rPr>
          <w:sz w:val="22"/>
        </w:rPr>
        <w:tab/>
      </w:r>
      <w:r w:rsidR="00C30876" w:rsidRPr="004D1DC2">
        <w:rPr>
          <w:sz w:val="22"/>
        </w:rPr>
        <w:t>Potential HARQ enhancements for NR-U</w:t>
      </w:r>
    </w:p>
    <w:p w14:paraId="15109279" w14:textId="425A7C02" w:rsidR="00E90E49" w:rsidRPr="00CE0424" w:rsidRDefault="00E90E49" w:rsidP="00DF6BA7">
      <w:pPr>
        <w:pStyle w:val="3GPPHeader"/>
      </w:pPr>
      <w:r w:rsidRPr="004D1DC2">
        <w:rPr>
          <w:sz w:val="22"/>
        </w:rPr>
        <w:t>Document for:</w:t>
      </w:r>
      <w:r w:rsidRPr="004D1DC2">
        <w:rPr>
          <w:sz w:val="22"/>
        </w:rPr>
        <w:tab/>
        <w:t>Discussion, Decision</w:t>
      </w:r>
    </w:p>
    <w:p w14:paraId="1FE6339F" w14:textId="77777777" w:rsidR="00F7529C" w:rsidRDefault="00E90E49" w:rsidP="001A7386">
      <w:pPr>
        <w:pStyle w:val="Heading1"/>
        <w:numPr>
          <w:ilvl w:val="0"/>
          <w:numId w:val="14"/>
        </w:numPr>
      </w:pPr>
      <w:r w:rsidRPr="00CE0424">
        <w:t>Introduction</w:t>
      </w:r>
    </w:p>
    <w:p w14:paraId="601D1B99" w14:textId="24543ACF" w:rsidR="002C198E" w:rsidRPr="006E4188" w:rsidRDefault="002C198E" w:rsidP="004150C4">
      <w:pPr>
        <w:pStyle w:val="BodyText"/>
        <w:rPr>
          <w:rFonts w:asciiTheme="minorHAnsi" w:hAnsiTheme="minorHAnsi"/>
        </w:rPr>
      </w:pPr>
      <w:r w:rsidRPr="006E4188">
        <w:rPr>
          <w:rFonts w:asciiTheme="minorHAnsi" w:hAnsiTheme="minorHAnsi"/>
        </w:rPr>
        <w:t>In this contribution, we provide our view on possible HARQ related issues that should be address when designing HARQ enhancements for NR-U operation</w:t>
      </w:r>
      <w:r w:rsidR="004C5484" w:rsidRPr="006E4188">
        <w:rPr>
          <w:rFonts w:asciiTheme="minorHAnsi" w:hAnsiTheme="minorHAnsi"/>
        </w:rPr>
        <w:t xml:space="preserve"> </w:t>
      </w:r>
      <w:r w:rsidR="002950C5" w:rsidRPr="006E4188">
        <w:rPr>
          <w:rFonts w:asciiTheme="minorHAnsi" w:hAnsiTheme="minorHAnsi"/>
        </w:rPr>
        <w:t>and</w:t>
      </w:r>
      <w:r w:rsidR="004C5484" w:rsidRPr="006E4188">
        <w:rPr>
          <w:rFonts w:asciiTheme="minorHAnsi" w:hAnsiTheme="minorHAnsi"/>
        </w:rPr>
        <w:t xml:space="preserve"> on multi-TTI scheduling. </w:t>
      </w:r>
    </w:p>
    <w:p w14:paraId="0C7E81CC" w14:textId="0882C2E5" w:rsidR="004000E8" w:rsidRDefault="004000E8" w:rsidP="00C436E4">
      <w:pPr>
        <w:pStyle w:val="Heading1"/>
        <w:numPr>
          <w:ilvl w:val="0"/>
          <w:numId w:val="14"/>
        </w:numPr>
      </w:pPr>
      <w:bookmarkStart w:id="2" w:name="_Ref178064866"/>
      <w:r w:rsidRPr="00CE0424">
        <w:t>Discussion</w:t>
      </w:r>
      <w:bookmarkEnd w:id="2"/>
    </w:p>
    <w:p w14:paraId="5C56C9A6" w14:textId="245F8D38" w:rsidR="00C436E4" w:rsidRPr="00C436E4" w:rsidRDefault="00C436E4" w:rsidP="00C436E4">
      <w:pPr>
        <w:pStyle w:val="Heading2"/>
      </w:pPr>
      <w:r>
        <w:t>2.1</w:t>
      </w:r>
      <w:r>
        <w:tab/>
      </w:r>
      <w:r w:rsidRPr="00C436E4">
        <w:t xml:space="preserve">Scheduling </w:t>
      </w:r>
    </w:p>
    <w:p w14:paraId="198C4F51" w14:textId="117CBE66" w:rsidR="005021FE" w:rsidRPr="006E4188" w:rsidRDefault="005021FE" w:rsidP="00000706">
      <w:pPr>
        <w:jc w:val="both"/>
        <w:rPr>
          <w:rFonts w:asciiTheme="minorHAnsi" w:hAnsiTheme="minorHAnsi"/>
        </w:rPr>
      </w:pPr>
      <w:r w:rsidRPr="006E4188">
        <w:rPr>
          <w:rFonts w:asciiTheme="minorHAnsi" w:hAnsiTheme="minorHAnsi"/>
        </w:rPr>
        <w:t>To maximize the applicability of NR-based unlicensed access, NR deployments include the following scenarios:</w:t>
      </w:r>
    </w:p>
    <w:p w14:paraId="36CB8688" w14:textId="77777777" w:rsidR="005021FE" w:rsidRPr="006E4188" w:rsidRDefault="005021FE" w:rsidP="00000706">
      <w:pPr>
        <w:numPr>
          <w:ilvl w:val="0"/>
          <w:numId w:val="20"/>
        </w:numPr>
        <w:spacing w:after="0"/>
        <w:jc w:val="both"/>
        <w:rPr>
          <w:rFonts w:asciiTheme="minorHAnsi" w:hAnsiTheme="minorHAnsi"/>
          <w:bCs/>
        </w:rPr>
      </w:pPr>
      <w:r w:rsidRPr="006E4188">
        <w:rPr>
          <w:rFonts w:asciiTheme="minorHAnsi" w:hAnsiTheme="minorHAnsi"/>
          <w:bCs/>
        </w:rPr>
        <w:t>Scenario A: Carrier aggregation between licensed band NR (</w:t>
      </w:r>
      <w:proofErr w:type="spellStart"/>
      <w:r w:rsidRPr="006E4188">
        <w:rPr>
          <w:rFonts w:asciiTheme="minorHAnsi" w:hAnsiTheme="minorHAnsi"/>
          <w:bCs/>
        </w:rPr>
        <w:t>PCell</w:t>
      </w:r>
      <w:proofErr w:type="spellEnd"/>
      <w:r w:rsidRPr="006E4188">
        <w:rPr>
          <w:rFonts w:asciiTheme="minorHAnsi" w:hAnsiTheme="minorHAnsi"/>
          <w:bCs/>
        </w:rPr>
        <w:t>) and NR-U (</w:t>
      </w:r>
      <w:proofErr w:type="spellStart"/>
      <w:r w:rsidRPr="006E4188">
        <w:rPr>
          <w:rFonts w:asciiTheme="minorHAnsi" w:hAnsiTheme="minorHAnsi"/>
          <w:bCs/>
        </w:rPr>
        <w:t>SCell</w:t>
      </w:r>
      <w:proofErr w:type="spellEnd"/>
      <w:r w:rsidRPr="006E4188">
        <w:rPr>
          <w:rFonts w:asciiTheme="minorHAnsi" w:hAnsiTheme="minorHAnsi"/>
          <w:bCs/>
        </w:rPr>
        <w:t xml:space="preserve">) </w:t>
      </w:r>
    </w:p>
    <w:p w14:paraId="38F4DA69" w14:textId="77777777" w:rsidR="005021FE" w:rsidRPr="006E4188" w:rsidRDefault="005021FE" w:rsidP="00000706">
      <w:pPr>
        <w:numPr>
          <w:ilvl w:val="1"/>
          <w:numId w:val="20"/>
        </w:numPr>
        <w:spacing w:after="0"/>
        <w:jc w:val="both"/>
        <w:rPr>
          <w:rFonts w:asciiTheme="minorHAnsi" w:hAnsiTheme="minorHAnsi"/>
          <w:bCs/>
        </w:rPr>
      </w:pPr>
      <w:r w:rsidRPr="006E4188">
        <w:rPr>
          <w:rFonts w:asciiTheme="minorHAnsi" w:hAnsiTheme="minorHAnsi"/>
          <w:bCs/>
        </w:rPr>
        <w:t xml:space="preserve">NR-U </w:t>
      </w:r>
      <w:proofErr w:type="spellStart"/>
      <w:r w:rsidRPr="006E4188">
        <w:rPr>
          <w:rFonts w:asciiTheme="minorHAnsi" w:hAnsiTheme="minorHAnsi"/>
          <w:bCs/>
        </w:rPr>
        <w:t>SCell</w:t>
      </w:r>
      <w:proofErr w:type="spellEnd"/>
      <w:r w:rsidRPr="006E4188">
        <w:rPr>
          <w:rFonts w:asciiTheme="minorHAnsi" w:hAnsiTheme="minorHAnsi"/>
          <w:bCs/>
        </w:rPr>
        <w:t xml:space="preserve"> may have both DL and UL, or DL-only.</w:t>
      </w:r>
    </w:p>
    <w:p w14:paraId="246BC12B" w14:textId="77777777" w:rsidR="005021FE" w:rsidRPr="006E4188" w:rsidRDefault="005021FE" w:rsidP="00000706">
      <w:pPr>
        <w:numPr>
          <w:ilvl w:val="0"/>
          <w:numId w:val="20"/>
        </w:numPr>
        <w:spacing w:after="0"/>
        <w:jc w:val="both"/>
        <w:rPr>
          <w:rFonts w:asciiTheme="minorHAnsi" w:hAnsiTheme="minorHAnsi"/>
          <w:bCs/>
        </w:rPr>
      </w:pPr>
      <w:r w:rsidRPr="006E4188">
        <w:rPr>
          <w:rFonts w:asciiTheme="minorHAnsi" w:hAnsiTheme="minorHAnsi"/>
          <w:bCs/>
        </w:rPr>
        <w:t>Scenario B: Dual connectivity between licensed band LTE (</w:t>
      </w:r>
      <w:proofErr w:type="spellStart"/>
      <w:r w:rsidRPr="006E4188">
        <w:rPr>
          <w:rFonts w:asciiTheme="minorHAnsi" w:hAnsiTheme="minorHAnsi"/>
          <w:bCs/>
        </w:rPr>
        <w:t>PCell</w:t>
      </w:r>
      <w:proofErr w:type="spellEnd"/>
      <w:r w:rsidRPr="006E4188">
        <w:rPr>
          <w:rFonts w:asciiTheme="minorHAnsi" w:hAnsiTheme="minorHAnsi"/>
          <w:bCs/>
        </w:rPr>
        <w:t>) and NR-U (</w:t>
      </w:r>
      <w:proofErr w:type="spellStart"/>
      <w:r w:rsidRPr="006E4188">
        <w:rPr>
          <w:rFonts w:asciiTheme="minorHAnsi" w:hAnsiTheme="minorHAnsi"/>
          <w:bCs/>
        </w:rPr>
        <w:t>PSCell</w:t>
      </w:r>
      <w:proofErr w:type="spellEnd"/>
      <w:r w:rsidRPr="006E4188">
        <w:rPr>
          <w:rFonts w:asciiTheme="minorHAnsi" w:hAnsiTheme="minorHAnsi"/>
          <w:bCs/>
        </w:rPr>
        <w:t>)</w:t>
      </w:r>
    </w:p>
    <w:p w14:paraId="54DE4BFD" w14:textId="77777777" w:rsidR="005021FE" w:rsidRPr="006E4188" w:rsidRDefault="005021FE" w:rsidP="00000706">
      <w:pPr>
        <w:numPr>
          <w:ilvl w:val="0"/>
          <w:numId w:val="20"/>
        </w:numPr>
        <w:spacing w:after="0"/>
        <w:jc w:val="both"/>
        <w:rPr>
          <w:rFonts w:asciiTheme="minorHAnsi" w:hAnsiTheme="minorHAnsi"/>
          <w:bCs/>
        </w:rPr>
      </w:pPr>
      <w:r w:rsidRPr="006E4188">
        <w:rPr>
          <w:rFonts w:asciiTheme="minorHAnsi" w:hAnsiTheme="minorHAnsi"/>
          <w:bCs/>
        </w:rPr>
        <w:t>Scenario C: Stand-alone NR-U</w:t>
      </w:r>
    </w:p>
    <w:p w14:paraId="6F15F9AE" w14:textId="77777777" w:rsidR="005021FE" w:rsidRPr="006E4188" w:rsidRDefault="005021FE" w:rsidP="00000706">
      <w:pPr>
        <w:numPr>
          <w:ilvl w:val="0"/>
          <w:numId w:val="20"/>
        </w:numPr>
        <w:spacing w:after="0"/>
        <w:jc w:val="both"/>
        <w:rPr>
          <w:rFonts w:asciiTheme="minorHAnsi" w:hAnsiTheme="minorHAnsi"/>
          <w:bCs/>
        </w:rPr>
      </w:pPr>
      <w:r w:rsidRPr="006E4188">
        <w:rPr>
          <w:rFonts w:asciiTheme="minorHAnsi" w:hAnsiTheme="minorHAnsi"/>
          <w:bCs/>
        </w:rPr>
        <w:t>Scenario D: A stand-alone NR cell in unlicensed band and UL in licensed band</w:t>
      </w:r>
    </w:p>
    <w:p w14:paraId="39188112" w14:textId="79A1042D" w:rsidR="005021FE" w:rsidRPr="006E4188" w:rsidRDefault="005021FE" w:rsidP="00000706">
      <w:pPr>
        <w:numPr>
          <w:ilvl w:val="0"/>
          <w:numId w:val="20"/>
        </w:numPr>
        <w:spacing w:after="0"/>
        <w:jc w:val="both"/>
        <w:rPr>
          <w:rFonts w:asciiTheme="minorHAnsi" w:hAnsiTheme="minorHAnsi"/>
          <w:bCs/>
        </w:rPr>
      </w:pPr>
      <w:r w:rsidRPr="006E4188">
        <w:rPr>
          <w:rFonts w:asciiTheme="minorHAnsi" w:hAnsiTheme="minorHAnsi"/>
          <w:bCs/>
        </w:rPr>
        <w:t xml:space="preserve">Scenario E: Dual connectivity between licensed band </w:t>
      </w:r>
      <w:proofErr w:type="gramStart"/>
      <w:r w:rsidRPr="006E4188">
        <w:rPr>
          <w:rFonts w:asciiTheme="minorHAnsi" w:hAnsiTheme="minorHAnsi"/>
          <w:bCs/>
        </w:rPr>
        <w:t>NR  and</w:t>
      </w:r>
      <w:proofErr w:type="gramEnd"/>
      <w:r w:rsidRPr="006E4188">
        <w:rPr>
          <w:rFonts w:asciiTheme="minorHAnsi" w:hAnsiTheme="minorHAnsi"/>
          <w:bCs/>
        </w:rPr>
        <w:t xml:space="preserve"> NR-U </w:t>
      </w:r>
    </w:p>
    <w:p w14:paraId="312A2A3C" w14:textId="39A30B40" w:rsidR="005021FE" w:rsidRPr="006E4188" w:rsidRDefault="005021FE" w:rsidP="00000706">
      <w:pPr>
        <w:spacing w:after="0"/>
        <w:jc w:val="both"/>
        <w:rPr>
          <w:rFonts w:asciiTheme="minorHAnsi" w:hAnsiTheme="minorHAnsi"/>
          <w:bCs/>
        </w:rPr>
      </w:pPr>
    </w:p>
    <w:p w14:paraId="3EF36CB8" w14:textId="79176BC4" w:rsidR="005021FE" w:rsidRPr="006E4188" w:rsidRDefault="00000706" w:rsidP="00000706">
      <w:pPr>
        <w:spacing w:after="0"/>
        <w:jc w:val="both"/>
        <w:rPr>
          <w:rFonts w:asciiTheme="minorHAnsi" w:hAnsiTheme="minorHAnsi"/>
          <w:bCs/>
        </w:rPr>
      </w:pPr>
      <w:r w:rsidRPr="006E4188">
        <w:rPr>
          <w:rFonts w:asciiTheme="minorHAnsi" w:hAnsiTheme="minorHAnsi"/>
          <w:bCs/>
        </w:rPr>
        <w:t xml:space="preserve">Rel-15 allows very flexible cross-carrier scheduling. However, a cell can still be scheduled by one other cell. </w:t>
      </w:r>
      <w:r w:rsidR="005021FE" w:rsidRPr="006E4188">
        <w:rPr>
          <w:rFonts w:asciiTheme="minorHAnsi" w:hAnsiTheme="minorHAnsi"/>
          <w:bCs/>
        </w:rPr>
        <w:t xml:space="preserve">NR, </w:t>
      </w:r>
      <w:proofErr w:type="gramStart"/>
      <w:r w:rsidR="005021FE" w:rsidRPr="006E4188">
        <w:rPr>
          <w:rFonts w:asciiTheme="minorHAnsi" w:hAnsiTheme="minorHAnsi"/>
          <w:bCs/>
        </w:rPr>
        <w:t>similar to</w:t>
      </w:r>
      <w:proofErr w:type="gramEnd"/>
      <w:r w:rsidR="005021FE" w:rsidRPr="006E4188">
        <w:rPr>
          <w:rFonts w:asciiTheme="minorHAnsi" w:hAnsiTheme="minorHAnsi"/>
          <w:bCs/>
        </w:rPr>
        <w:t xml:space="preserve"> LAA</w:t>
      </w:r>
      <w:r w:rsidR="000730F6" w:rsidRPr="006E4188">
        <w:rPr>
          <w:rFonts w:asciiTheme="minorHAnsi" w:hAnsiTheme="minorHAnsi"/>
          <w:bCs/>
        </w:rPr>
        <w:t>-LTE</w:t>
      </w:r>
      <w:r w:rsidR="00651D94" w:rsidRPr="006E4188">
        <w:rPr>
          <w:rFonts w:asciiTheme="minorHAnsi" w:hAnsiTheme="minorHAnsi"/>
          <w:bCs/>
        </w:rPr>
        <w:t>,</w:t>
      </w:r>
      <w:r w:rsidR="005021FE" w:rsidRPr="006E4188">
        <w:rPr>
          <w:rFonts w:asciiTheme="minorHAnsi" w:hAnsiTheme="minorHAnsi"/>
          <w:bCs/>
        </w:rPr>
        <w:t xml:space="preserve"> should support the combination of self-scheduling in the DL and cross carrier scheduling in the UL in scenario A. This way</w:t>
      </w:r>
      <w:r w:rsidR="00651D94" w:rsidRPr="006E4188">
        <w:rPr>
          <w:rFonts w:asciiTheme="minorHAnsi" w:hAnsiTheme="minorHAnsi"/>
          <w:bCs/>
        </w:rPr>
        <w:t>,</w:t>
      </w:r>
      <w:r w:rsidR="005021FE" w:rsidRPr="006E4188">
        <w:rPr>
          <w:rFonts w:asciiTheme="minorHAnsi" w:hAnsiTheme="minorHAnsi"/>
          <w:bCs/>
        </w:rPr>
        <w:t xml:space="preserve"> UL is subject to only one LBT at the UE side before the actual uplink transmission, unlike the self-scheduling </w:t>
      </w:r>
      <w:r w:rsidR="00651D94" w:rsidRPr="006E4188">
        <w:rPr>
          <w:rFonts w:asciiTheme="minorHAnsi" w:hAnsiTheme="minorHAnsi"/>
          <w:bCs/>
        </w:rPr>
        <w:t>on unlicensed carrier</w:t>
      </w:r>
      <w:r w:rsidR="005021FE" w:rsidRPr="006E4188">
        <w:rPr>
          <w:rFonts w:asciiTheme="minorHAnsi" w:hAnsiTheme="minorHAnsi"/>
          <w:bCs/>
        </w:rPr>
        <w:t xml:space="preserve"> where two LBTs are needed</w:t>
      </w:r>
      <w:r w:rsidR="00DE702A" w:rsidRPr="006E4188">
        <w:rPr>
          <w:rFonts w:asciiTheme="minorHAnsi" w:hAnsiTheme="minorHAnsi"/>
          <w:bCs/>
        </w:rPr>
        <w:t>,</w:t>
      </w:r>
      <w:r w:rsidR="005021FE" w:rsidRPr="006E4188">
        <w:rPr>
          <w:rFonts w:asciiTheme="minorHAnsi" w:hAnsiTheme="minorHAnsi"/>
          <w:bCs/>
        </w:rPr>
        <w:t xml:space="preserve"> one at the </w:t>
      </w:r>
      <w:proofErr w:type="spellStart"/>
      <w:r w:rsidR="005021FE" w:rsidRPr="006E4188">
        <w:rPr>
          <w:rFonts w:asciiTheme="minorHAnsi" w:hAnsiTheme="minorHAnsi"/>
          <w:bCs/>
        </w:rPr>
        <w:t>gNB</w:t>
      </w:r>
      <w:proofErr w:type="spellEnd"/>
      <w:r w:rsidR="005021FE" w:rsidRPr="006E4188">
        <w:rPr>
          <w:rFonts w:asciiTheme="minorHAnsi" w:hAnsiTheme="minorHAnsi"/>
          <w:bCs/>
        </w:rPr>
        <w:t xml:space="preserve"> to sen</w:t>
      </w:r>
      <w:r w:rsidR="00651D94" w:rsidRPr="006E4188">
        <w:rPr>
          <w:rFonts w:asciiTheme="minorHAnsi" w:hAnsiTheme="minorHAnsi"/>
          <w:bCs/>
        </w:rPr>
        <w:t>d</w:t>
      </w:r>
      <w:r w:rsidR="005021FE" w:rsidRPr="006E4188">
        <w:rPr>
          <w:rFonts w:asciiTheme="minorHAnsi" w:hAnsiTheme="minorHAnsi"/>
          <w:bCs/>
        </w:rPr>
        <w:t xml:space="preserve"> the grant and another at the UE before the actual grant transmission. </w:t>
      </w:r>
    </w:p>
    <w:p w14:paraId="3B0420C2" w14:textId="58E19A33" w:rsidR="00651D94" w:rsidRPr="006E4188" w:rsidRDefault="00651D94" w:rsidP="00000706">
      <w:pPr>
        <w:spacing w:after="0"/>
        <w:jc w:val="both"/>
        <w:rPr>
          <w:rFonts w:asciiTheme="minorHAnsi" w:hAnsiTheme="minorHAnsi"/>
          <w:bCs/>
        </w:rPr>
      </w:pPr>
    </w:p>
    <w:p w14:paraId="483286CE" w14:textId="646C8FB4" w:rsidR="006D58ED" w:rsidRPr="006E4188" w:rsidRDefault="00651D94" w:rsidP="00000706">
      <w:pPr>
        <w:spacing w:after="0"/>
        <w:jc w:val="both"/>
        <w:rPr>
          <w:rFonts w:asciiTheme="minorHAnsi" w:hAnsiTheme="minorHAnsi"/>
          <w:bCs/>
        </w:rPr>
      </w:pPr>
      <w:r w:rsidRPr="006E4188">
        <w:rPr>
          <w:rFonts w:asciiTheme="minorHAnsi" w:hAnsiTheme="minorHAnsi"/>
          <w:bCs/>
        </w:rPr>
        <w:t xml:space="preserve">For standalone scenario, </w:t>
      </w:r>
      <w:r w:rsidR="00F24538" w:rsidRPr="006E4188">
        <w:rPr>
          <w:rFonts w:asciiTheme="minorHAnsi" w:hAnsiTheme="minorHAnsi"/>
        </w:rPr>
        <w:t>t</w:t>
      </w:r>
      <w:r w:rsidR="00F24538" w:rsidRPr="006E4188">
        <w:rPr>
          <w:rFonts w:asciiTheme="minorHAnsi" w:hAnsiTheme="minorHAnsi"/>
          <w:lang w:val="en-US"/>
        </w:rPr>
        <w:t xml:space="preserve">here are benefits </w:t>
      </w:r>
      <w:r w:rsidR="00F24538" w:rsidRPr="006E4188">
        <w:rPr>
          <w:rFonts w:asciiTheme="minorHAnsi" w:hAnsiTheme="minorHAnsi"/>
        </w:rPr>
        <w:t xml:space="preserve">in terms of latency </w:t>
      </w:r>
      <w:r w:rsidR="00F24538" w:rsidRPr="006E4188">
        <w:rPr>
          <w:rFonts w:asciiTheme="minorHAnsi" w:hAnsiTheme="minorHAnsi"/>
          <w:lang w:val="en-US"/>
        </w:rPr>
        <w:t>if scheduling from any activated unlicensed carrier</w:t>
      </w:r>
      <w:r w:rsidR="00F24538" w:rsidRPr="006E4188">
        <w:rPr>
          <w:rFonts w:asciiTheme="minorHAnsi" w:hAnsiTheme="minorHAnsi"/>
        </w:rPr>
        <w:t xml:space="preserve"> is allowed. This way, the </w:t>
      </w:r>
      <w:proofErr w:type="spellStart"/>
      <w:r w:rsidR="00F24538" w:rsidRPr="006E4188">
        <w:rPr>
          <w:rFonts w:asciiTheme="minorHAnsi" w:hAnsiTheme="minorHAnsi"/>
        </w:rPr>
        <w:t>gNB</w:t>
      </w:r>
      <w:proofErr w:type="spellEnd"/>
      <w:r w:rsidR="00F24538" w:rsidRPr="006E4188">
        <w:rPr>
          <w:rFonts w:asciiTheme="minorHAnsi" w:hAnsiTheme="minorHAnsi"/>
        </w:rPr>
        <w:t xml:space="preserve"> can send UL grants on the first channel that passes LBT, but that is not feasible due to the limited blind decoding budget at the UE.</w:t>
      </w:r>
      <w:r w:rsidR="00F24538" w:rsidRPr="006E4188">
        <w:rPr>
          <w:rFonts w:asciiTheme="minorHAnsi" w:hAnsiTheme="minorHAnsi"/>
          <w:bCs/>
        </w:rPr>
        <w:t xml:space="preserve"> Nevertheless, there is still strong use case to</w:t>
      </w:r>
      <w:r w:rsidRPr="006E4188">
        <w:rPr>
          <w:rFonts w:asciiTheme="minorHAnsi" w:hAnsiTheme="minorHAnsi"/>
          <w:bCs/>
        </w:rPr>
        <w:t xml:space="preserve"> support self-scheduling for DL and cross carrier scheduling for UL. </w:t>
      </w:r>
      <w:r w:rsidR="006D58ED" w:rsidRPr="006E4188">
        <w:rPr>
          <w:rFonts w:asciiTheme="minorHAnsi" w:hAnsiTheme="minorHAnsi"/>
          <w:bCs/>
        </w:rPr>
        <w:t xml:space="preserve">This is mainly beneficial if the UE is configured with more DL cells than UL, which is expected due to the different power and capabilities between UE and </w:t>
      </w:r>
      <w:proofErr w:type="spellStart"/>
      <w:r w:rsidR="006D58ED" w:rsidRPr="006E4188">
        <w:rPr>
          <w:rFonts w:asciiTheme="minorHAnsi" w:hAnsiTheme="minorHAnsi"/>
          <w:bCs/>
        </w:rPr>
        <w:t>gNB</w:t>
      </w:r>
      <w:proofErr w:type="spellEnd"/>
      <w:r w:rsidR="006D58ED" w:rsidRPr="006E4188">
        <w:rPr>
          <w:rFonts w:asciiTheme="minorHAnsi" w:hAnsiTheme="minorHAnsi"/>
          <w:bCs/>
        </w:rPr>
        <w:t xml:space="preserve">. </w:t>
      </w:r>
      <w:r w:rsidR="00F24538" w:rsidRPr="006E4188">
        <w:rPr>
          <w:rFonts w:asciiTheme="minorHAnsi" w:hAnsiTheme="minorHAnsi"/>
        </w:rPr>
        <w:t xml:space="preserve">Taking that into consideration, NR-U should support configuring </w:t>
      </w:r>
      <w:r w:rsidR="00000706" w:rsidRPr="006E4188">
        <w:rPr>
          <w:rFonts w:asciiTheme="minorHAnsi" w:hAnsiTheme="minorHAnsi"/>
        </w:rPr>
        <w:t>a cell</w:t>
      </w:r>
      <w:r w:rsidR="00F24538" w:rsidRPr="006E4188">
        <w:rPr>
          <w:rFonts w:asciiTheme="minorHAnsi" w:hAnsiTheme="minorHAnsi"/>
        </w:rPr>
        <w:t xml:space="preserve"> to have both self- and cross carrier scheduling</w:t>
      </w:r>
      <w:r w:rsidR="00000706" w:rsidRPr="006E4188">
        <w:rPr>
          <w:rFonts w:asciiTheme="minorHAnsi" w:hAnsiTheme="minorHAnsi"/>
        </w:rPr>
        <w:t xml:space="preserve"> for UL</w:t>
      </w:r>
      <w:r w:rsidR="00F24538" w:rsidRPr="006E4188">
        <w:rPr>
          <w:rFonts w:asciiTheme="minorHAnsi" w:hAnsiTheme="minorHAnsi"/>
        </w:rPr>
        <w:t xml:space="preserve">. </w:t>
      </w:r>
    </w:p>
    <w:p w14:paraId="2656B61B" w14:textId="6794F88E" w:rsidR="00651D94" w:rsidRDefault="00651D94" w:rsidP="005021FE">
      <w:pPr>
        <w:spacing w:after="0"/>
        <w:rPr>
          <w:bCs/>
        </w:rPr>
      </w:pPr>
    </w:p>
    <w:p w14:paraId="3106BCAA" w14:textId="77777777" w:rsidR="00000706" w:rsidRDefault="00651D94" w:rsidP="009243EF">
      <w:pPr>
        <w:pStyle w:val="Proposal"/>
        <w:rPr>
          <w:lang w:val="en-US"/>
        </w:rPr>
      </w:pPr>
      <w:bookmarkStart w:id="3" w:name="_Toc1133769"/>
      <w:r w:rsidRPr="007124CC">
        <w:rPr>
          <w:lang w:val="en-US"/>
        </w:rPr>
        <w:t xml:space="preserve">Support UL/DL Scheduling </w:t>
      </w:r>
      <w:r w:rsidR="009243EF">
        <w:t>c</w:t>
      </w:r>
      <w:proofErr w:type="spellStart"/>
      <w:r w:rsidR="009243EF" w:rsidRPr="007124CC">
        <w:rPr>
          <w:lang w:val="en-US"/>
        </w:rPr>
        <w:t>ombinatio</w:t>
      </w:r>
      <w:proofErr w:type="spellEnd"/>
      <w:r w:rsidR="009243EF">
        <w:t>n:</w:t>
      </w:r>
      <w:bookmarkEnd w:id="3"/>
      <w:r w:rsidRPr="007124CC">
        <w:rPr>
          <w:lang w:val="en-US"/>
        </w:rPr>
        <w:t xml:space="preserve"> </w:t>
      </w:r>
    </w:p>
    <w:p w14:paraId="5670DEBD" w14:textId="77777777" w:rsidR="00000706" w:rsidRDefault="00651D94" w:rsidP="00951C0F">
      <w:pPr>
        <w:pStyle w:val="Proposal"/>
        <w:numPr>
          <w:ilvl w:val="1"/>
          <w:numId w:val="25"/>
        </w:numPr>
        <w:rPr>
          <w:lang w:val="en-US"/>
        </w:rPr>
      </w:pPr>
      <w:bookmarkStart w:id="4" w:name="_Toc1133770"/>
      <w:r w:rsidRPr="007124CC">
        <w:rPr>
          <w:lang w:val="en-US"/>
        </w:rPr>
        <w:t xml:space="preserve">Self-scheduling </w:t>
      </w:r>
      <w:r w:rsidR="00000706">
        <w:t>for</w:t>
      </w:r>
      <w:r w:rsidRPr="007124CC">
        <w:rPr>
          <w:lang w:val="en-US"/>
        </w:rPr>
        <w:t xml:space="preserve"> DL</w:t>
      </w:r>
      <w:bookmarkEnd w:id="4"/>
    </w:p>
    <w:p w14:paraId="4F46C03F" w14:textId="15B6F488" w:rsidR="000730F6" w:rsidRDefault="00000706" w:rsidP="00951C0F">
      <w:pPr>
        <w:pStyle w:val="Proposal"/>
        <w:numPr>
          <w:ilvl w:val="1"/>
          <w:numId w:val="25"/>
        </w:numPr>
        <w:rPr>
          <w:lang w:val="en-US"/>
        </w:rPr>
      </w:pPr>
      <w:bookmarkStart w:id="5" w:name="_Toc1133771"/>
      <w:r>
        <w:t xml:space="preserve">Self- and/or </w:t>
      </w:r>
      <w:r w:rsidR="00651D94" w:rsidRPr="007124CC">
        <w:rPr>
          <w:lang w:val="en-US"/>
        </w:rPr>
        <w:t xml:space="preserve">cross-carrier scheduling </w:t>
      </w:r>
      <w:r>
        <w:t>for</w:t>
      </w:r>
      <w:r w:rsidR="00651D94" w:rsidRPr="007124CC">
        <w:rPr>
          <w:lang w:val="en-US"/>
        </w:rPr>
        <w:t xml:space="preserve"> UL</w:t>
      </w:r>
      <w:bookmarkEnd w:id="5"/>
    </w:p>
    <w:p w14:paraId="26CFC865" w14:textId="60A5D478" w:rsidR="004C2A4A" w:rsidRPr="00000706" w:rsidRDefault="004C2A4A" w:rsidP="00951C0F">
      <w:pPr>
        <w:pStyle w:val="Proposal"/>
        <w:numPr>
          <w:ilvl w:val="2"/>
          <w:numId w:val="25"/>
        </w:numPr>
        <w:rPr>
          <w:lang w:val="en-US"/>
        </w:rPr>
      </w:pPr>
      <w:bookmarkStart w:id="6" w:name="_Toc1133772"/>
      <w:r>
        <w:t xml:space="preserve">FFS: </w:t>
      </w:r>
      <w:r w:rsidRPr="007124CC">
        <w:rPr>
          <w:lang w:val="en-US" w:eastAsia="ko-KR"/>
        </w:rPr>
        <w:t xml:space="preserve">How to manage the number of </w:t>
      </w:r>
      <w:proofErr w:type="gramStart"/>
      <w:r w:rsidRPr="007124CC">
        <w:rPr>
          <w:lang w:val="en-US" w:eastAsia="ko-KR"/>
        </w:rPr>
        <w:t>blind</w:t>
      </w:r>
      <w:proofErr w:type="gramEnd"/>
      <w:r w:rsidRPr="007124CC">
        <w:rPr>
          <w:lang w:val="en-US" w:eastAsia="ko-KR"/>
        </w:rPr>
        <w:t xml:space="preserve"> decodes at the UE side</w:t>
      </w:r>
      <w:r>
        <w:rPr>
          <w:lang w:eastAsia="ko-KR"/>
        </w:rPr>
        <w:t>.</w:t>
      </w:r>
      <w:bookmarkEnd w:id="6"/>
    </w:p>
    <w:p w14:paraId="542C8FD3" w14:textId="77777777" w:rsidR="00DE702A" w:rsidRDefault="00DE702A" w:rsidP="005021FE">
      <w:pPr>
        <w:spacing w:after="0"/>
        <w:rPr>
          <w:bCs/>
        </w:rPr>
      </w:pPr>
    </w:p>
    <w:p w14:paraId="58D2ABBF" w14:textId="25139887" w:rsidR="005021FE" w:rsidRDefault="005021FE" w:rsidP="005021FE">
      <w:pPr>
        <w:spacing w:after="0"/>
        <w:rPr>
          <w:bCs/>
        </w:rPr>
      </w:pPr>
    </w:p>
    <w:p w14:paraId="7BCF3A39" w14:textId="77777777" w:rsidR="005021FE" w:rsidRDefault="005021FE" w:rsidP="005021FE">
      <w:pPr>
        <w:spacing w:after="0"/>
        <w:rPr>
          <w:bCs/>
        </w:rPr>
      </w:pPr>
    </w:p>
    <w:p w14:paraId="47B8EDE4" w14:textId="1C8B2FF4" w:rsidR="005021FE" w:rsidRDefault="005021FE" w:rsidP="005021FE">
      <w:pPr>
        <w:spacing w:after="0"/>
        <w:rPr>
          <w:bCs/>
        </w:rPr>
      </w:pPr>
    </w:p>
    <w:p w14:paraId="22BB5B3D" w14:textId="77777777" w:rsidR="005021FE" w:rsidRPr="005021FE" w:rsidRDefault="005021FE" w:rsidP="005021FE">
      <w:pPr>
        <w:spacing w:after="0"/>
        <w:rPr>
          <w:bCs/>
        </w:rPr>
      </w:pPr>
    </w:p>
    <w:p w14:paraId="37D54D7F" w14:textId="0C175EB4" w:rsidR="00A227E4" w:rsidRPr="006E4188" w:rsidRDefault="00D05A02" w:rsidP="006E4188">
      <w:pPr>
        <w:pStyle w:val="Heading2"/>
        <w:numPr>
          <w:ilvl w:val="1"/>
          <w:numId w:val="14"/>
        </w:numPr>
      </w:pPr>
      <w:r>
        <w:lastRenderedPageBreak/>
        <w:t xml:space="preserve">Enhanced </w:t>
      </w:r>
      <w:r w:rsidR="00B654B1">
        <w:t>Dynamic HARQ codebook</w:t>
      </w:r>
    </w:p>
    <w:p w14:paraId="2C9E0950" w14:textId="7CF155B4" w:rsidR="004836F6" w:rsidRPr="006E4188" w:rsidRDefault="00635B57" w:rsidP="005C68F0">
      <w:pPr>
        <w:pStyle w:val="BodyText"/>
        <w:rPr>
          <w:rFonts w:asciiTheme="minorHAnsi" w:hAnsiTheme="minorHAnsi"/>
        </w:rPr>
      </w:pPr>
      <w:r w:rsidRPr="006E4188">
        <w:rPr>
          <w:rFonts w:asciiTheme="minorHAnsi" w:hAnsiTheme="minorHAnsi"/>
        </w:rPr>
        <w:t xml:space="preserve">The TR includes a list of alternatives to support cross-HRQ-ACK feedback and multiple opportunities for HARQ-ACK feedback. </w:t>
      </w:r>
    </w:p>
    <w:p w14:paraId="5171C8C2" w14:textId="013E0056"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Alt1:</w:t>
      </w:r>
      <w:r w:rsidRPr="006E4188">
        <w:rPr>
          <w:rFonts w:asciiTheme="minorHAnsi" w:hAnsiTheme="minorHAnsi"/>
        </w:rPr>
        <w:t xml:space="preserve"> </w:t>
      </w:r>
      <w:proofErr w:type="spellStart"/>
      <w:r w:rsidRPr="006E4188">
        <w:rPr>
          <w:rFonts w:asciiTheme="minorHAnsi" w:hAnsiTheme="minorHAnsi"/>
        </w:rPr>
        <w:t>gNB</w:t>
      </w:r>
      <w:proofErr w:type="spellEnd"/>
      <w:r w:rsidRPr="006E4188">
        <w:rPr>
          <w:rFonts w:asciiTheme="minorHAnsi" w:hAnsiTheme="minorHAnsi"/>
        </w:rPr>
        <w:t xml:space="preserve"> requests/triggers feedback for PDSCH from earlier COT(s) or additional reporting of earlier HARQ feedback, where the exact HARQ feedback timing and resource is provided to the UE in another DCI (in the same or in another COT)</w:t>
      </w:r>
    </w:p>
    <w:p w14:paraId="429F870F" w14:textId="324236C3"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Alt2:</w:t>
      </w:r>
      <w:r w:rsidRPr="006E4188">
        <w:rPr>
          <w:rFonts w:asciiTheme="minorHAnsi" w:hAnsiTheme="minorHAnsi"/>
        </w:rPr>
        <w:t xml:space="preserve"> UE is configured/allowed to report HARQ feedback for PDSCH from earlier COT(s) without an explicit request/trigger</w:t>
      </w:r>
    </w:p>
    <w:p w14:paraId="313BB15B" w14:textId="173AA840"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Alt3:</w:t>
      </w:r>
      <w:r w:rsidRPr="006E4188">
        <w:rPr>
          <w:rFonts w:asciiTheme="minorHAnsi" w:hAnsiTheme="minorHAnsi"/>
        </w:rPr>
        <w:t xml:space="preserve"> </w:t>
      </w:r>
      <w:proofErr w:type="spellStart"/>
      <w:r w:rsidRPr="006E4188">
        <w:rPr>
          <w:rFonts w:asciiTheme="minorHAnsi" w:hAnsiTheme="minorHAnsi"/>
        </w:rPr>
        <w:t>gNB</w:t>
      </w:r>
      <w:proofErr w:type="spellEnd"/>
      <w:r w:rsidRPr="006E4188">
        <w:rPr>
          <w:rFonts w:asciiTheme="minorHAnsi" w:hAnsiTheme="minorHAnsi"/>
        </w:rPr>
        <w:t xml:space="preserve"> requests feedback outside the COT by PDSCH-to-HARQ-timing-indicator in the DCI scheduling the PDSCH</w:t>
      </w:r>
    </w:p>
    <w:p w14:paraId="40556AA1" w14:textId="40F3825B"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Alt4:</w:t>
      </w:r>
      <w:r w:rsidRPr="006E4188">
        <w:rPr>
          <w:rFonts w:asciiTheme="minorHAnsi" w:hAnsiTheme="minorHAnsi"/>
        </w:rPr>
        <w:t xml:space="preserve"> preconfigured/pre-indicated multiple opportunities in frequency domain in different LBT </w:t>
      </w:r>
      <w:proofErr w:type="spellStart"/>
      <w:r w:rsidRPr="006E4188">
        <w:rPr>
          <w:rFonts w:asciiTheme="minorHAnsi" w:hAnsiTheme="minorHAnsi"/>
        </w:rPr>
        <w:t>subbands</w:t>
      </w:r>
      <w:proofErr w:type="spellEnd"/>
    </w:p>
    <w:p w14:paraId="58DCADAE" w14:textId="24FFD723" w:rsidR="005C68F0" w:rsidRPr="006E4188" w:rsidRDefault="005C68F0" w:rsidP="005C68F0">
      <w:pPr>
        <w:pStyle w:val="ListParagraph"/>
        <w:numPr>
          <w:ilvl w:val="0"/>
          <w:numId w:val="23"/>
        </w:numPr>
        <w:rPr>
          <w:rFonts w:asciiTheme="minorHAnsi" w:hAnsiTheme="minorHAnsi"/>
        </w:rPr>
      </w:pPr>
      <w:r w:rsidRPr="006E4188">
        <w:rPr>
          <w:rFonts w:asciiTheme="minorHAnsi" w:hAnsiTheme="minorHAnsi"/>
          <w:b/>
          <w:bCs/>
        </w:rPr>
        <w:t>Alt5:</w:t>
      </w:r>
      <w:r w:rsidRPr="006E4188">
        <w:rPr>
          <w:rFonts w:asciiTheme="minorHAnsi" w:hAnsiTheme="minorHAnsi"/>
        </w:rPr>
        <w:t xml:space="preserve"> preconfigured/pre-indicated multiple opportunities in time domain</w:t>
      </w:r>
    </w:p>
    <w:p w14:paraId="162E4AF3" w14:textId="1254468B" w:rsidR="004836F6" w:rsidRDefault="004836F6" w:rsidP="00DF6BA7">
      <w:pPr>
        <w:pStyle w:val="ListParagraph"/>
        <w:rPr>
          <w:rFonts w:ascii="Times" w:eastAsia="Batang" w:hAnsi="Times"/>
          <w:szCs w:val="24"/>
          <w:lang w:eastAsia="x-none"/>
        </w:rPr>
      </w:pPr>
    </w:p>
    <w:p w14:paraId="77B379C9" w14:textId="15629DEE" w:rsidR="005C68F0" w:rsidRPr="006E4188" w:rsidRDefault="005C68F0" w:rsidP="00DF6BA7">
      <w:pPr>
        <w:pStyle w:val="BodyText"/>
        <w:rPr>
          <w:rFonts w:asciiTheme="minorHAnsi" w:hAnsiTheme="minorHAnsi"/>
        </w:rPr>
      </w:pPr>
      <w:r w:rsidRPr="006E4188">
        <w:rPr>
          <w:rFonts w:asciiTheme="minorHAnsi" w:hAnsiTheme="minorHAnsi"/>
        </w:rPr>
        <w:t xml:space="preserve">Alt1 was agreed during last meeting. Alternative 3 can be realized using NR Rel-15 with no changes. The other alternatives are still open for discussion. </w:t>
      </w:r>
    </w:p>
    <w:p w14:paraId="15F2609C" w14:textId="5A408176" w:rsidR="00907E3C" w:rsidRPr="006E4188" w:rsidRDefault="00907E3C" w:rsidP="00DF6BA7">
      <w:pPr>
        <w:pStyle w:val="BodyText"/>
        <w:rPr>
          <w:rFonts w:asciiTheme="minorHAnsi" w:hAnsiTheme="minorHAnsi"/>
        </w:rPr>
      </w:pPr>
      <w:r w:rsidRPr="006E4188">
        <w:rPr>
          <w:rFonts w:asciiTheme="minorHAnsi" w:hAnsiTheme="minorHAnsi"/>
        </w:rPr>
        <w:t xml:space="preserve">Before going into the complications of all the options, it should be noted that in most cases the feedback will be transmitted immediately after the DL transmission if the gap is less than 16us as per the following </w:t>
      </w:r>
      <w:r w:rsidR="00C856BD" w:rsidRPr="006E4188">
        <w:rPr>
          <w:rFonts w:asciiTheme="minorHAnsi" w:hAnsiTheme="minorHAnsi"/>
        </w:rPr>
        <w:t>agreement from section 7.2.1.3.3 in the TR</w:t>
      </w:r>
      <w:r w:rsidR="00DF6BA7" w:rsidRPr="006E4188">
        <w:rPr>
          <w:rFonts w:asciiTheme="minorHAnsi" w:hAnsiTheme="minorHAnsi"/>
        </w:rPr>
        <w:t xml:space="preserve"> [1]</w:t>
      </w:r>
      <w:r w:rsidR="00C856BD" w:rsidRPr="006E4188">
        <w:rPr>
          <w:rFonts w:asciiTheme="minorHAnsi" w:hAnsiTheme="minorHAnsi"/>
        </w:rPr>
        <w:t xml:space="preserve">:  </w:t>
      </w:r>
    </w:p>
    <w:p w14:paraId="0F19070E" w14:textId="6BEAAE90" w:rsidR="00C856BD" w:rsidRPr="00DF6BA7" w:rsidRDefault="00C856BD" w:rsidP="00DF6BA7">
      <w:pPr>
        <w:ind w:left="567"/>
        <w:rPr>
          <w:i/>
          <w:lang w:val="en-US" w:eastAsia="x-none"/>
        </w:rPr>
      </w:pPr>
      <w:r w:rsidRPr="00DF6BA7">
        <w:rPr>
          <w:i/>
          <w:lang w:val="en-US" w:eastAsia="x-none"/>
        </w:rPr>
        <w:t xml:space="preserve">A gap of up to 16 </w:t>
      </w:r>
      <w:r>
        <w:rPr>
          <w:i/>
          <w:lang w:eastAsia="x-none"/>
        </w:rPr>
        <w:t>u</w:t>
      </w:r>
      <w:r w:rsidRPr="00DF6BA7">
        <w:rPr>
          <w:i/>
          <w:lang w:val="en-US" w:eastAsia="x-none"/>
        </w:rPr>
        <w:t>s should be allowed between the end of the DL transmission and the immediate transmission of feedback to accommodate for the hardware turnaround time</w:t>
      </w:r>
    </w:p>
    <w:p w14:paraId="08D536DE" w14:textId="69A28112" w:rsidR="00907E3C" w:rsidRPr="006E4188" w:rsidRDefault="00907E3C" w:rsidP="00DF6BA7">
      <w:pPr>
        <w:pStyle w:val="BodyText"/>
        <w:rPr>
          <w:rFonts w:asciiTheme="minorHAnsi" w:hAnsiTheme="minorHAnsi"/>
        </w:rPr>
      </w:pPr>
      <w:r w:rsidRPr="006E4188">
        <w:rPr>
          <w:rFonts w:asciiTheme="minorHAnsi" w:hAnsiTheme="minorHAnsi"/>
        </w:rPr>
        <w:t xml:space="preserve">Having said that, the feedback transmission will not be restricted or blocked by the LBT procedure in </w:t>
      </w:r>
      <w:r w:rsidR="00635B57" w:rsidRPr="006E4188">
        <w:rPr>
          <w:rFonts w:asciiTheme="minorHAnsi" w:hAnsiTheme="minorHAnsi"/>
        </w:rPr>
        <w:t>most of</w:t>
      </w:r>
      <w:r w:rsidRPr="006E4188">
        <w:rPr>
          <w:rFonts w:asciiTheme="minorHAnsi" w:hAnsiTheme="minorHAnsi"/>
        </w:rPr>
        <w:t xml:space="preserve"> the cases. However, there will still be some limited cases where the feedback is not received within the same COT which includes: </w:t>
      </w:r>
    </w:p>
    <w:p w14:paraId="30649B92" w14:textId="77777777" w:rsidR="00907E3C" w:rsidRPr="006E4188" w:rsidRDefault="00907E3C" w:rsidP="00DF6BA7">
      <w:pPr>
        <w:pStyle w:val="BodyText"/>
        <w:numPr>
          <w:ilvl w:val="0"/>
          <w:numId w:val="17"/>
        </w:numPr>
        <w:rPr>
          <w:rFonts w:asciiTheme="minorHAnsi" w:hAnsiTheme="minorHAnsi"/>
        </w:rPr>
      </w:pPr>
      <w:r w:rsidRPr="006E4188">
        <w:rPr>
          <w:rFonts w:asciiTheme="minorHAnsi" w:hAnsiTheme="minorHAnsi"/>
        </w:rPr>
        <w:t xml:space="preserve">The UE does not have enough time to process and report the feedback of the last PDSCH before the scheduled resources for the feedback transmission </w:t>
      </w:r>
    </w:p>
    <w:p w14:paraId="2FC4C3A8" w14:textId="5D5EAFB5" w:rsidR="00C06081" w:rsidRPr="006E4188" w:rsidRDefault="00907E3C" w:rsidP="00DF6BA7">
      <w:pPr>
        <w:pStyle w:val="BodyText"/>
        <w:numPr>
          <w:ilvl w:val="0"/>
          <w:numId w:val="17"/>
        </w:numPr>
        <w:rPr>
          <w:rFonts w:asciiTheme="minorHAnsi" w:hAnsiTheme="minorHAnsi"/>
        </w:rPr>
      </w:pPr>
      <w:r w:rsidRPr="006E4188">
        <w:rPr>
          <w:rFonts w:asciiTheme="minorHAnsi" w:hAnsiTheme="minorHAnsi"/>
        </w:rPr>
        <w:t xml:space="preserve">The feedback is sent by the UE but not correctly decoded or detected by the </w:t>
      </w:r>
      <w:proofErr w:type="spellStart"/>
      <w:r w:rsidRPr="006E4188">
        <w:rPr>
          <w:rFonts w:asciiTheme="minorHAnsi" w:hAnsiTheme="minorHAnsi"/>
        </w:rPr>
        <w:t>gNB</w:t>
      </w:r>
      <w:proofErr w:type="spellEnd"/>
      <w:r w:rsidRPr="006E4188">
        <w:rPr>
          <w:rFonts w:asciiTheme="minorHAnsi" w:hAnsiTheme="minorHAnsi"/>
        </w:rPr>
        <w:t xml:space="preserve">. </w:t>
      </w:r>
    </w:p>
    <w:p w14:paraId="7957E0A2" w14:textId="623AE083" w:rsidR="00907E3C" w:rsidRPr="006E4188" w:rsidRDefault="00907E3C" w:rsidP="00DF6BA7">
      <w:pPr>
        <w:pStyle w:val="BodyText"/>
        <w:rPr>
          <w:rFonts w:asciiTheme="minorHAnsi" w:hAnsiTheme="minorHAnsi"/>
        </w:rPr>
      </w:pPr>
      <w:r w:rsidRPr="006E4188">
        <w:rPr>
          <w:rFonts w:asciiTheme="minorHAnsi" w:hAnsiTheme="minorHAnsi"/>
        </w:rPr>
        <w:t>It is important to support extensions to handle those cases</w:t>
      </w:r>
      <w:r w:rsidR="00C856BD" w:rsidRPr="006E4188">
        <w:rPr>
          <w:rFonts w:asciiTheme="minorHAnsi" w:hAnsiTheme="minorHAnsi"/>
        </w:rPr>
        <w:t>.</w:t>
      </w:r>
      <w:r w:rsidRPr="006E4188">
        <w:rPr>
          <w:rFonts w:asciiTheme="minorHAnsi" w:hAnsiTheme="minorHAnsi"/>
        </w:rPr>
        <w:t xml:space="preserve"> </w:t>
      </w:r>
      <w:r w:rsidR="00C856BD" w:rsidRPr="006E4188">
        <w:rPr>
          <w:rFonts w:asciiTheme="minorHAnsi" w:hAnsiTheme="minorHAnsi"/>
        </w:rPr>
        <w:t>Nonetheless,</w:t>
      </w:r>
      <w:r w:rsidRPr="006E4188">
        <w:rPr>
          <w:rFonts w:asciiTheme="minorHAnsi" w:hAnsiTheme="minorHAnsi"/>
        </w:rPr>
        <w:t xml:space="preserve"> those extensions should be kept as simple as possible as compared to what rel-15 supports. </w:t>
      </w:r>
    </w:p>
    <w:p w14:paraId="58E031BC" w14:textId="0090621F" w:rsidR="00D33139" w:rsidRPr="006E4188" w:rsidRDefault="008D6499" w:rsidP="00D33139">
      <w:pPr>
        <w:pStyle w:val="BodyText"/>
        <w:rPr>
          <w:rFonts w:asciiTheme="minorHAnsi" w:hAnsiTheme="minorHAnsi"/>
        </w:rPr>
      </w:pPr>
      <w:r w:rsidRPr="006E4188">
        <w:rPr>
          <w:rFonts w:asciiTheme="minorHAnsi" w:hAnsiTheme="minorHAnsi"/>
        </w:rPr>
        <w:t>Alternative 2</w:t>
      </w:r>
      <w:r w:rsidR="005C68F0" w:rsidRPr="006E4188">
        <w:rPr>
          <w:rFonts w:asciiTheme="minorHAnsi" w:hAnsiTheme="minorHAnsi"/>
        </w:rPr>
        <w:t xml:space="preserve"> </w:t>
      </w:r>
      <w:r w:rsidRPr="006E4188">
        <w:rPr>
          <w:rFonts w:asciiTheme="minorHAnsi" w:hAnsiTheme="minorHAnsi"/>
        </w:rPr>
        <w:t xml:space="preserve">is very problematic from </w:t>
      </w:r>
      <w:proofErr w:type="spellStart"/>
      <w:r w:rsidRPr="006E4188">
        <w:rPr>
          <w:rFonts w:asciiTheme="minorHAnsi" w:hAnsiTheme="minorHAnsi"/>
        </w:rPr>
        <w:t>gNB</w:t>
      </w:r>
      <w:proofErr w:type="spellEnd"/>
      <w:r w:rsidRPr="006E4188">
        <w:rPr>
          <w:rFonts w:asciiTheme="minorHAnsi" w:hAnsiTheme="minorHAnsi"/>
        </w:rPr>
        <w:t xml:space="preserve"> perspective. In Alternative 2, UE autonomously reports UCI with additional information about HARQ processes which increases the processing burden at the </w:t>
      </w:r>
      <w:proofErr w:type="spellStart"/>
      <w:r w:rsidRPr="006E4188">
        <w:rPr>
          <w:rFonts w:asciiTheme="minorHAnsi" w:hAnsiTheme="minorHAnsi"/>
        </w:rPr>
        <w:t>gNB</w:t>
      </w:r>
      <w:proofErr w:type="spellEnd"/>
      <w:r w:rsidRPr="006E4188">
        <w:rPr>
          <w:rFonts w:asciiTheme="minorHAnsi" w:hAnsiTheme="minorHAnsi"/>
        </w:rPr>
        <w:t xml:space="preserve"> which does not know where and when to expect this feedback.</w:t>
      </w:r>
    </w:p>
    <w:p w14:paraId="4F16CE92" w14:textId="234F7CD7" w:rsidR="005C68F0" w:rsidRPr="00D33139" w:rsidRDefault="00D33139" w:rsidP="00D33139">
      <w:pPr>
        <w:pStyle w:val="Proposal"/>
      </w:pPr>
      <w:bookmarkStart w:id="7" w:name="_Toc1133773"/>
      <w:r w:rsidRPr="005C68F0">
        <w:t>Alt2</w:t>
      </w:r>
      <w:r>
        <w:t xml:space="preserve"> is not supported for NR-U</w:t>
      </w:r>
      <w:bookmarkEnd w:id="7"/>
    </w:p>
    <w:p w14:paraId="3FD70C9E" w14:textId="2CFBD225" w:rsidR="003C4B9C" w:rsidRPr="006E4188" w:rsidRDefault="003C4B9C" w:rsidP="00DF6BA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rPr>
          <w:rFonts w:asciiTheme="minorHAnsi" w:hAnsiTheme="minorHAnsi"/>
        </w:rPr>
      </w:pPr>
      <w:r w:rsidRPr="006E4188">
        <w:rPr>
          <w:rFonts w:asciiTheme="minorHAnsi" w:hAnsiTheme="minorHAnsi"/>
        </w:rPr>
        <w:t>The need or effectiveness of Alternative 4 depends on the decision RAN1/4 make about wide band operation.</w:t>
      </w:r>
    </w:p>
    <w:p w14:paraId="1CCB883B" w14:textId="07D80FC7" w:rsidR="00F10C89" w:rsidRPr="006E4188" w:rsidRDefault="00F10C89" w:rsidP="00DF6BA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rPr>
          <w:rFonts w:asciiTheme="minorHAnsi" w:hAnsiTheme="minorHAnsi"/>
        </w:rPr>
      </w:pPr>
      <w:r w:rsidRPr="006E4188">
        <w:rPr>
          <w:rFonts w:asciiTheme="minorHAnsi" w:hAnsiTheme="minorHAnsi"/>
        </w:rPr>
        <w:t>We believe there is enough merits in Alternative 1 to ove</w:t>
      </w:r>
      <w:r w:rsidR="008C4B0A" w:rsidRPr="006E4188">
        <w:rPr>
          <w:rFonts w:asciiTheme="minorHAnsi" w:hAnsiTheme="minorHAnsi"/>
        </w:rPr>
        <w:t xml:space="preserve">rcome the issues listed above. </w:t>
      </w:r>
    </w:p>
    <w:p w14:paraId="56519DDE" w14:textId="6113D3FB" w:rsidR="00C856BD" w:rsidRPr="00DF6BA7" w:rsidRDefault="00C856BD" w:rsidP="00DF6BA7">
      <w:pPr>
        <w:pStyle w:val="Heading2"/>
      </w:pPr>
      <w:r>
        <w:t xml:space="preserve">2.2.1 DAI value extension </w:t>
      </w:r>
    </w:p>
    <w:p w14:paraId="34C143A3" w14:textId="661D2BF3" w:rsidR="00C856BD" w:rsidRPr="006E4188" w:rsidRDefault="00C856BD" w:rsidP="00C856BD">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rPr>
          <w:rFonts w:asciiTheme="minorHAnsi" w:hAnsiTheme="minorHAnsi"/>
        </w:rPr>
      </w:pPr>
      <w:r w:rsidRPr="006E4188">
        <w:rPr>
          <w:rFonts w:asciiTheme="minorHAnsi" w:hAnsiTheme="minorHAnsi"/>
        </w:rPr>
        <w:t xml:space="preserve">The UE refers to the DAI value to calculate the dynamic codebook size. For every PDSCH transmission, the DAI value in the DCI is incremented. The DAI in the DL scheduling DCI should be stepped by one as compared to the immediately preceding DL scheduling DCI, if difference between the two received DAI values at the UE in current and earlier DCI is higher than 1, it is an indication that PDCCH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w:t>
      </w:r>
      <w:proofErr w:type="spellStart"/>
      <w:r w:rsidRPr="006E4188">
        <w:rPr>
          <w:rFonts w:asciiTheme="minorHAnsi" w:hAnsiTheme="minorHAnsi"/>
        </w:rPr>
        <w:t>gNB’s</w:t>
      </w:r>
      <w:proofErr w:type="spellEnd"/>
      <w:r w:rsidRPr="006E4188">
        <w:rPr>
          <w:rFonts w:asciiTheme="minorHAnsi" w:hAnsiTheme="minorHAnsi"/>
        </w:rPr>
        <w:t xml:space="preserve"> expected codebook size and the reported one by the UE. While missing 4 or more consecutive PDSCH on licensed carrier is unlikely, it is highly likely to happen on an unlicensed band due to collisions and especially for larger SCS where the slot duration is smaller</w:t>
      </w:r>
      <w:r w:rsidR="000E0127" w:rsidRPr="006E4188">
        <w:rPr>
          <w:rFonts w:asciiTheme="minorHAnsi" w:hAnsiTheme="minorHAnsi"/>
        </w:rPr>
        <w:t>.</w:t>
      </w:r>
      <w:r w:rsidRPr="006E4188">
        <w:rPr>
          <w:rFonts w:asciiTheme="minorHAnsi" w:hAnsiTheme="minorHAnsi"/>
        </w:rPr>
        <w:t xml:space="preserve"> Thereby, the 2-bit DAI will cause an issue. </w:t>
      </w:r>
    </w:p>
    <w:p w14:paraId="27F57AC5" w14:textId="77777777" w:rsidR="00C856BD" w:rsidRPr="006E4188" w:rsidRDefault="00C856BD" w:rsidP="00D05A02">
      <w:pPr>
        <w:pStyle w:val="ListParagraph"/>
        <w:rPr>
          <w:rStyle w:val="IvDbodytextChar"/>
          <w:rFonts w:asciiTheme="minorHAnsi" w:hAnsiTheme="minorHAnsi" w:cstheme="minorBidi"/>
          <w:spacing w:val="0"/>
          <w:sz w:val="20"/>
          <w:szCs w:val="20"/>
        </w:rPr>
      </w:pPr>
    </w:p>
    <w:p w14:paraId="380E1096" w14:textId="7B716CCD" w:rsidR="00D05A02" w:rsidRPr="006E4188" w:rsidRDefault="00D05A02" w:rsidP="00D05A02">
      <w:pPr>
        <w:pStyle w:val="BodyText"/>
        <w:rPr>
          <w:rFonts w:asciiTheme="minorHAnsi" w:hAnsiTheme="minorHAnsi"/>
        </w:rPr>
      </w:pPr>
      <w:r w:rsidRPr="006E4188">
        <w:rPr>
          <w:rFonts w:asciiTheme="minorHAnsi" w:hAnsiTheme="minorHAnsi"/>
        </w:rPr>
        <w:t xml:space="preserve">To eliminate the issues caused by the limited DAI combinations (issue 3), the DAI field in the DCI should be extended to </w:t>
      </w:r>
      <w:r w:rsidRPr="006E4188">
        <w:rPr>
          <w:rFonts w:asciiTheme="minorHAnsi" w:hAnsiTheme="minorHAnsi"/>
        </w:rPr>
        <w:lastRenderedPageBreak/>
        <w:t>accommodate for possibly missing more than 4 PDCCH transmissions.</w:t>
      </w:r>
    </w:p>
    <w:p w14:paraId="5F7C80D4" w14:textId="082C08CF" w:rsidR="00C856BD" w:rsidRDefault="00D05A02" w:rsidP="00DF6BA7">
      <w:pPr>
        <w:pStyle w:val="Proposal"/>
      </w:pPr>
      <w:bookmarkStart w:id="8" w:name="_Toc1133774"/>
      <w:r>
        <w:t>DCIs for scheduling PDSCH on unlicensed carriers should support larger DAI field as compared to Rel-15 NR DCI for scheduling PDSCH on licensed carrier.</w:t>
      </w:r>
      <w:bookmarkEnd w:id="8"/>
      <w:r>
        <w:t xml:space="preserve">  </w:t>
      </w:r>
    </w:p>
    <w:p w14:paraId="1C5AA686" w14:textId="78736ABD" w:rsidR="000E0127" w:rsidRDefault="004D4D53" w:rsidP="004D4D53">
      <w:pPr>
        <w:pStyle w:val="Heading2"/>
      </w:pPr>
      <w:r>
        <w:t>2.2.2</w:t>
      </w:r>
      <w:r>
        <w:tab/>
      </w:r>
      <w:r w:rsidRPr="004D4D53">
        <w:t>dl-</w:t>
      </w:r>
      <w:proofErr w:type="spellStart"/>
      <w:r w:rsidRPr="004D4D53">
        <w:t>DataToUL</w:t>
      </w:r>
      <w:proofErr w:type="spellEnd"/>
      <w:r w:rsidRPr="004D4D53">
        <w:t>-ACK</w:t>
      </w:r>
      <w:r w:rsidR="00340ACC">
        <w:t xml:space="preserve"> values </w:t>
      </w:r>
    </w:p>
    <w:p w14:paraId="629E014D" w14:textId="36F562E2" w:rsidR="00340ACC" w:rsidRPr="006E4188" w:rsidRDefault="00340ACC" w:rsidP="00582A52">
      <w:pPr>
        <w:rPr>
          <w:rFonts w:asciiTheme="minorHAnsi" w:hAnsiTheme="minorHAnsi"/>
        </w:rPr>
      </w:pPr>
      <w:r w:rsidRPr="006E4188">
        <w:rPr>
          <w:rFonts w:asciiTheme="minorHAnsi" w:hAnsiTheme="minorHAnsi"/>
        </w:rPr>
        <w:t xml:space="preserve">During Ad-Hoc Meeting 1901 the following proposal was discussed: </w:t>
      </w:r>
    </w:p>
    <w:p w14:paraId="047757E9" w14:textId="00C36247" w:rsidR="00340ACC" w:rsidRDefault="00340ACC" w:rsidP="00340ACC">
      <w:pPr>
        <w:rPr>
          <w:bCs/>
          <w:lang w:eastAsia="x-none"/>
        </w:rPr>
      </w:pPr>
      <w:r>
        <w:rPr>
          <w:bCs/>
          <w:highlight w:val="yellow"/>
          <w:lang w:eastAsia="x-none"/>
        </w:rPr>
        <w:t>Proposal:</w:t>
      </w:r>
    </w:p>
    <w:p w14:paraId="71744B40" w14:textId="77777777" w:rsidR="00340ACC" w:rsidRDefault="00340ACC" w:rsidP="00340ACC">
      <w:pPr>
        <w:numPr>
          <w:ilvl w:val="0"/>
          <w:numId w:val="24"/>
        </w:numPr>
        <w:spacing w:after="0"/>
        <w:ind w:left="360"/>
        <w:rPr>
          <w:bCs/>
          <w:lang w:eastAsia="x-none"/>
        </w:rPr>
      </w:pPr>
      <w:r>
        <w:rPr>
          <w:bCs/>
          <w:lang w:eastAsia="x-none"/>
        </w:rPr>
        <w:t>The largest value supported by RRC parameter dl-</w:t>
      </w:r>
      <w:proofErr w:type="spellStart"/>
      <w:r>
        <w:rPr>
          <w:bCs/>
          <w:lang w:eastAsia="x-none"/>
        </w:rPr>
        <w:t>DataToUL</w:t>
      </w:r>
      <w:proofErr w:type="spellEnd"/>
      <w:r>
        <w:rPr>
          <w:bCs/>
          <w:lang w:eastAsia="x-none"/>
        </w:rPr>
        <w:t>-ACK is larger than</w:t>
      </w:r>
      <w:r>
        <w:rPr>
          <w:lang w:eastAsia="x-none"/>
        </w:rPr>
        <w:t xml:space="preserve"> 15 for NR-U</w:t>
      </w:r>
    </w:p>
    <w:p w14:paraId="1577CCA4" w14:textId="77777777" w:rsidR="00340ACC" w:rsidRDefault="00340ACC" w:rsidP="00340ACC">
      <w:pPr>
        <w:numPr>
          <w:ilvl w:val="1"/>
          <w:numId w:val="24"/>
        </w:numPr>
        <w:spacing w:after="0"/>
        <w:ind w:left="1080"/>
        <w:rPr>
          <w:bCs/>
          <w:lang w:eastAsia="x-none"/>
        </w:rPr>
      </w:pPr>
      <w:r>
        <w:rPr>
          <w:lang w:eastAsia="x-none"/>
        </w:rPr>
        <w:t>FFS between 31 and 63</w:t>
      </w:r>
    </w:p>
    <w:p w14:paraId="2FF262C1" w14:textId="77777777" w:rsidR="00340ACC" w:rsidRDefault="00340ACC" w:rsidP="00340ACC">
      <w:pPr>
        <w:numPr>
          <w:ilvl w:val="1"/>
          <w:numId w:val="24"/>
        </w:numPr>
        <w:spacing w:after="0"/>
        <w:ind w:left="1080"/>
        <w:rPr>
          <w:bCs/>
          <w:lang w:eastAsia="x-none"/>
        </w:rPr>
      </w:pPr>
      <w:r>
        <w:rPr>
          <w:bCs/>
          <w:lang w:eastAsia="x-none"/>
        </w:rPr>
        <w:t xml:space="preserve">The number of bits of </w:t>
      </w:r>
      <w:r>
        <w:rPr>
          <w:lang w:eastAsia="x-none"/>
        </w:rPr>
        <w:t>PDSCH-to-HARQ-timing-indicator is not increased for this purpose</w:t>
      </w:r>
      <w:r>
        <w:rPr>
          <w:bCs/>
          <w:lang w:eastAsia="x-none"/>
        </w:rPr>
        <w:t xml:space="preserve"> </w:t>
      </w:r>
    </w:p>
    <w:p w14:paraId="339884F1" w14:textId="5B64283E" w:rsidR="004D4D53" w:rsidRDefault="004D4D53" w:rsidP="004D4D53"/>
    <w:p w14:paraId="1413182B" w14:textId="048AE2AF" w:rsidR="007F3B75" w:rsidRPr="006E4188" w:rsidRDefault="00340ACC" w:rsidP="007F3B75">
      <w:pPr>
        <w:rPr>
          <w:rFonts w:asciiTheme="minorHAnsi" w:hAnsiTheme="minorHAnsi"/>
          <w:szCs w:val="22"/>
          <w:lang w:eastAsia="ko-KR"/>
        </w:rPr>
      </w:pPr>
      <w:r w:rsidRPr="006E4188">
        <w:rPr>
          <w:rFonts w:asciiTheme="minorHAnsi" w:hAnsiTheme="minorHAnsi"/>
        </w:rPr>
        <w:t>dl-</w:t>
      </w:r>
      <w:proofErr w:type="spellStart"/>
      <w:r w:rsidRPr="006E4188">
        <w:rPr>
          <w:rFonts w:asciiTheme="minorHAnsi" w:hAnsiTheme="minorHAnsi"/>
        </w:rPr>
        <w:t>DataToUL</w:t>
      </w:r>
      <w:proofErr w:type="spellEnd"/>
      <w:r w:rsidRPr="006E4188">
        <w:rPr>
          <w:rFonts w:asciiTheme="minorHAnsi" w:hAnsiTheme="minorHAnsi"/>
        </w:rPr>
        <w:t xml:space="preserve">-ACK is the List timing for given PDSCH to the DL ACK. In </w:t>
      </w:r>
      <w:r w:rsidR="007F3B75" w:rsidRPr="006E4188">
        <w:rPr>
          <w:rFonts w:asciiTheme="minorHAnsi" w:hAnsiTheme="minorHAnsi"/>
        </w:rPr>
        <w:t>R</w:t>
      </w:r>
      <w:r w:rsidRPr="006E4188">
        <w:rPr>
          <w:rFonts w:asciiTheme="minorHAnsi" w:hAnsiTheme="minorHAnsi"/>
        </w:rPr>
        <w:t>el-15 specification, only the values [</w:t>
      </w:r>
      <w:proofErr w:type="gramStart"/>
      <w:r w:rsidR="006E4188" w:rsidRPr="006E4188">
        <w:rPr>
          <w:rFonts w:asciiTheme="minorHAnsi" w:hAnsiTheme="minorHAnsi"/>
        </w:rPr>
        <w:t>1</w:t>
      </w:r>
      <w:r w:rsidRPr="006E4188">
        <w:rPr>
          <w:rFonts w:asciiTheme="minorHAnsi" w:hAnsiTheme="minorHAnsi"/>
        </w:rPr>
        <w:t>..</w:t>
      </w:r>
      <w:proofErr w:type="gramEnd"/>
      <w:r w:rsidRPr="006E4188">
        <w:rPr>
          <w:rFonts w:asciiTheme="minorHAnsi" w:hAnsiTheme="minorHAnsi"/>
        </w:rPr>
        <w:t xml:space="preserve">8] are </w:t>
      </w:r>
      <w:r w:rsidR="007F3B75" w:rsidRPr="006E4188">
        <w:rPr>
          <w:rFonts w:asciiTheme="minorHAnsi" w:hAnsiTheme="minorHAnsi"/>
        </w:rPr>
        <w:t>applicable</w:t>
      </w:r>
      <w:r w:rsidRPr="006E4188">
        <w:rPr>
          <w:rFonts w:asciiTheme="minorHAnsi" w:hAnsiTheme="minorHAnsi"/>
        </w:rPr>
        <w:t>, to indicate a number between 0 and 15.</w:t>
      </w:r>
      <w:r w:rsidR="007F3B75" w:rsidRPr="006E4188">
        <w:rPr>
          <w:rFonts w:asciiTheme="minorHAnsi" w:hAnsiTheme="minorHAnsi"/>
        </w:rPr>
        <w:t xml:space="preserve"> During last meeting the following agreement was made</w:t>
      </w:r>
      <w:r w:rsidR="0097378B">
        <w:rPr>
          <w:rFonts w:asciiTheme="minorHAnsi" w:hAnsiTheme="minorHAnsi"/>
        </w:rPr>
        <w:t xml:space="preserve"> [2]</w:t>
      </w:r>
      <w:r w:rsidR="007F3B75" w:rsidRPr="006E4188">
        <w:rPr>
          <w:rFonts w:asciiTheme="minorHAnsi" w:hAnsiTheme="minorHAnsi"/>
        </w:rPr>
        <w:t xml:space="preserve">: </w:t>
      </w:r>
    </w:p>
    <w:p w14:paraId="3C469C97" w14:textId="5460791C" w:rsidR="007F3B75" w:rsidRPr="007F3B75" w:rsidRDefault="007F3B75" w:rsidP="007F3B75">
      <w:pPr>
        <w:ind w:left="567"/>
        <w:rPr>
          <w:rFonts w:cs="Times"/>
          <w:bCs/>
          <w:i/>
          <w:iCs/>
          <w:lang w:eastAsia="x-none"/>
        </w:rPr>
      </w:pPr>
      <w:r w:rsidRPr="007F3B75">
        <w:rPr>
          <w:rFonts w:cs="Times"/>
          <w:bCs/>
          <w:i/>
          <w:iCs/>
          <w:highlight w:val="green"/>
          <w:lang w:eastAsia="x-none"/>
        </w:rPr>
        <w:t>Agreement:</w:t>
      </w:r>
    </w:p>
    <w:p w14:paraId="7BF2256B" w14:textId="77777777" w:rsidR="007F3B75" w:rsidRPr="007F3B75" w:rsidRDefault="007F3B75" w:rsidP="007F3B75">
      <w:pPr>
        <w:spacing w:after="0"/>
        <w:ind w:left="567"/>
        <w:rPr>
          <w:rFonts w:cs="Times"/>
          <w:bCs/>
          <w:i/>
          <w:iCs/>
          <w:lang w:eastAsia="x-none"/>
        </w:rPr>
      </w:pPr>
      <w:r w:rsidRPr="007F3B75">
        <w:rPr>
          <w:rFonts w:cs="Times"/>
          <w:bCs/>
          <w:i/>
          <w:iCs/>
          <w:lang w:eastAsia="x-none"/>
        </w:rPr>
        <w:t>RRC parameter dl-</w:t>
      </w:r>
      <w:proofErr w:type="spellStart"/>
      <w:r w:rsidRPr="007F3B75">
        <w:rPr>
          <w:rFonts w:cs="Times"/>
          <w:bCs/>
          <w:i/>
          <w:iCs/>
          <w:lang w:eastAsia="x-none"/>
        </w:rPr>
        <w:t>DataToUL</w:t>
      </w:r>
      <w:proofErr w:type="spellEnd"/>
      <w:r w:rsidRPr="007F3B75">
        <w:rPr>
          <w:rFonts w:cs="Times"/>
          <w:bCs/>
          <w:i/>
          <w:iCs/>
          <w:lang w:eastAsia="x-none"/>
        </w:rPr>
        <w:t xml:space="preserve">-ACK supports a value that can be </w:t>
      </w:r>
      <w:proofErr w:type="spellStart"/>
      <w:r w:rsidRPr="007F3B75">
        <w:rPr>
          <w:rFonts w:cs="Times"/>
          <w:bCs/>
          <w:i/>
          <w:iCs/>
          <w:lang w:eastAsia="x-none"/>
        </w:rPr>
        <w:t>signaled</w:t>
      </w:r>
      <w:proofErr w:type="spellEnd"/>
      <w:r w:rsidRPr="007F3B75">
        <w:rPr>
          <w:rFonts w:cs="Times"/>
          <w:bCs/>
          <w:i/>
          <w:i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23BD4E32" w14:textId="306DA144" w:rsidR="007F3B75" w:rsidRPr="007F3B75" w:rsidRDefault="007F3B75" w:rsidP="007F3B75"/>
    <w:p w14:paraId="32B82947" w14:textId="229673CB" w:rsidR="00BC7AA4" w:rsidRPr="006E4188" w:rsidRDefault="00AC344D" w:rsidP="006E4188">
      <w:pPr>
        <w:rPr>
          <w:rFonts w:asciiTheme="minorHAnsi" w:hAnsiTheme="minorHAnsi"/>
          <w:lang w:eastAsia="x-none"/>
        </w:rPr>
      </w:pPr>
      <w:r w:rsidRPr="006E4188">
        <w:rPr>
          <w:rFonts w:asciiTheme="minorHAnsi" w:hAnsiTheme="minorHAnsi"/>
        </w:rPr>
        <w:t xml:space="preserve">Clearly, the </w:t>
      </w:r>
      <w:r w:rsidR="00667F97" w:rsidRPr="006E4188">
        <w:rPr>
          <w:rFonts w:asciiTheme="minorHAnsi" w:hAnsiTheme="minorHAnsi"/>
        </w:rPr>
        <w:t xml:space="preserve">intention of this proposal is mainly for the case of DL heavy COT with only one switching point at the end of the COT. If so, for cases where the </w:t>
      </w:r>
      <w:proofErr w:type="spellStart"/>
      <w:r w:rsidR="00667F97" w:rsidRPr="006E4188">
        <w:rPr>
          <w:rFonts w:asciiTheme="minorHAnsi" w:hAnsiTheme="minorHAnsi"/>
        </w:rPr>
        <w:t>gNB</w:t>
      </w:r>
      <w:proofErr w:type="spellEnd"/>
      <w:r w:rsidR="00667F97" w:rsidRPr="006E4188">
        <w:rPr>
          <w:rFonts w:asciiTheme="minorHAnsi" w:hAnsiTheme="minorHAnsi"/>
        </w:rPr>
        <w:t xml:space="preserve"> wants to indicate a timing difference that is larger than 15, the </w:t>
      </w:r>
      <w:proofErr w:type="spellStart"/>
      <w:r w:rsidR="00667F97" w:rsidRPr="006E4188">
        <w:rPr>
          <w:rFonts w:asciiTheme="minorHAnsi" w:hAnsiTheme="minorHAnsi"/>
        </w:rPr>
        <w:t>gNB</w:t>
      </w:r>
      <w:proofErr w:type="spellEnd"/>
      <w:r w:rsidR="00667F97" w:rsidRPr="006E4188">
        <w:rPr>
          <w:rFonts w:asciiTheme="minorHAnsi" w:hAnsiTheme="minorHAnsi"/>
        </w:rPr>
        <w:t xml:space="preserve"> can skip on providing any timing for the transmission of this HARQ A/N feedback at the time of the data transmission and provide it later when the timing for the transmission of this HARQ A/N feedback is less than 15 slots in the future. In fact, the later provides much more scheduling flexibility for the </w:t>
      </w:r>
      <w:proofErr w:type="spellStart"/>
      <w:r w:rsidR="00667F97" w:rsidRPr="006E4188">
        <w:rPr>
          <w:rFonts w:asciiTheme="minorHAnsi" w:hAnsiTheme="minorHAnsi"/>
        </w:rPr>
        <w:t>gNB</w:t>
      </w:r>
      <w:proofErr w:type="spellEnd"/>
      <w:r w:rsidR="00667F97" w:rsidRPr="006E4188">
        <w:rPr>
          <w:rFonts w:asciiTheme="minorHAnsi" w:hAnsiTheme="minorHAnsi"/>
        </w:rPr>
        <w:t xml:space="preserve"> instead of deciding on the scheduling for the upcoming 15+ slots in advance. Besides, it is not clear how adding a single (or few) new values of </w:t>
      </w:r>
      <w:r w:rsidR="00667F97" w:rsidRPr="006E4188">
        <w:rPr>
          <w:rFonts w:asciiTheme="minorHAnsi" w:hAnsiTheme="minorHAnsi"/>
          <w:bCs/>
          <w:lang w:eastAsia="x-none"/>
        </w:rPr>
        <w:t>dl-</w:t>
      </w:r>
      <w:proofErr w:type="spellStart"/>
      <w:r w:rsidR="00667F97" w:rsidRPr="006E4188">
        <w:rPr>
          <w:rFonts w:asciiTheme="minorHAnsi" w:hAnsiTheme="minorHAnsi"/>
          <w:bCs/>
          <w:lang w:eastAsia="x-none"/>
        </w:rPr>
        <w:t>DataToUL</w:t>
      </w:r>
      <w:proofErr w:type="spellEnd"/>
      <w:r w:rsidR="00667F97" w:rsidRPr="006E4188">
        <w:rPr>
          <w:rFonts w:asciiTheme="minorHAnsi" w:hAnsiTheme="minorHAnsi"/>
          <w:bCs/>
          <w:lang w:eastAsia="x-none"/>
        </w:rPr>
        <w:t xml:space="preserve">-ACK without extending the number of bits of </w:t>
      </w:r>
      <w:r w:rsidR="00667F97" w:rsidRPr="006E4188">
        <w:rPr>
          <w:rFonts w:asciiTheme="minorHAnsi" w:hAnsiTheme="minorHAnsi"/>
          <w:lang w:eastAsia="x-none"/>
        </w:rPr>
        <w:t xml:space="preserve">PDSCH-to-HARQ-timing-indicator helps when the </w:t>
      </w:r>
      <w:proofErr w:type="spellStart"/>
      <w:r w:rsidR="00BC7AA4" w:rsidRPr="006E4188">
        <w:rPr>
          <w:rFonts w:asciiTheme="minorHAnsi" w:hAnsiTheme="minorHAnsi"/>
          <w:lang w:eastAsia="x-none"/>
        </w:rPr>
        <w:t>gNB</w:t>
      </w:r>
      <w:proofErr w:type="spellEnd"/>
      <w:r w:rsidR="00BC7AA4" w:rsidRPr="006E4188">
        <w:rPr>
          <w:rFonts w:asciiTheme="minorHAnsi" w:hAnsiTheme="minorHAnsi"/>
          <w:lang w:eastAsia="x-none"/>
        </w:rPr>
        <w:t xml:space="preserve"> still needs to semi-statically down select only 8 values that fall between (0 and 15/31/63). In many occasions in a DL heavy single switch point, the </w:t>
      </w:r>
      <w:proofErr w:type="spellStart"/>
      <w:r w:rsidR="00BC7AA4" w:rsidRPr="006E4188">
        <w:rPr>
          <w:rFonts w:asciiTheme="minorHAnsi" w:hAnsiTheme="minorHAnsi"/>
          <w:lang w:eastAsia="x-none"/>
        </w:rPr>
        <w:t>gNB</w:t>
      </w:r>
      <w:proofErr w:type="spellEnd"/>
      <w:r w:rsidR="00BC7AA4" w:rsidRPr="006E4188">
        <w:rPr>
          <w:rFonts w:asciiTheme="minorHAnsi" w:hAnsiTheme="minorHAnsi"/>
          <w:lang w:eastAsia="x-none"/>
        </w:rPr>
        <w:t xml:space="preserve"> will make use of “no timing indication” because not all values between 0 and 15/31/63 can be indicated by DCI.</w:t>
      </w:r>
    </w:p>
    <w:p w14:paraId="694E7D1D" w14:textId="119E0BD4" w:rsidR="00340ACC" w:rsidRPr="00340ACC" w:rsidRDefault="00BC7AA4" w:rsidP="00BC7AA4">
      <w:pPr>
        <w:pStyle w:val="Proposal"/>
      </w:pPr>
      <w:bookmarkStart w:id="9" w:name="_Toc1133775"/>
      <w:r>
        <w:t>No need to support RRC parameter dl-</w:t>
      </w:r>
      <w:proofErr w:type="spellStart"/>
      <w:r>
        <w:t>DataToUL</w:t>
      </w:r>
      <w:proofErr w:type="spellEnd"/>
      <w:r>
        <w:t>-ACK value larger than Rel-15 NR</w:t>
      </w:r>
      <w:bookmarkEnd w:id="9"/>
    </w:p>
    <w:p w14:paraId="7D7F0492" w14:textId="10751D5C" w:rsidR="00C856BD" w:rsidRPr="00DF6BA7" w:rsidRDefault="00C856BD" w:rsidP="00DF6BA7">
      <w:pPr>
        <w:pStyle w:val="Heading2"/>
      </w:pPr>
      <w:r>
        <w:t xml:space="preserve">2.2.2 </w:t>
      </w:r>
      <w:r w:rsidRPr="00173DF9">
        <w:t>HARQ enhancement based on NFI:</w:t>
      </w:r>
      <w:r>
        <w:t xml:space="preserve"> </w:t>
      </w:r>
    </w:p>
    <w:p w14:paraId="1915F316" w14:textId="612B7C72" w:rsidR="000E0127" w:rsidRPr="006E4188" w:rsidRDefault="000E0127" w:rsidP="000E0127">
      <w:pPr>
        <w:rPr>
          <w:rFonts w:asciiTheme="minorHAnsi" w:hAnsiTheme="minorHAnsi"/>
        </w:rPr>
      </w:pPr>
      <w:r w:rsidRPr="006E4188">
        <w:rPr>
          <w:rFonts w:asciiTheme="minorHAnsi" w:hAnsiTheme="minorHAnsi"/>
        </w:rPr>
        <w:t xml:space="preserve">The following agreement was made during Ad-Hoc Meeting </w:t>
      </w:r>
      <w:r w:rsidRPr="00724D29">
        <w:rPr>
          <w:rFonts w:asciiTheme="minorHAnsi" w:hAnsiTheme="minorHAnsi"/>
        </w:rPr>
        <w:t>1901 [</w:t>
      </w:r>
      <w:r w:rsidR="00724D29" w:rsidRPr="00724D29">
        <w:rPr>
          <w:rFonts w:asciiTheme="minorHAnsi" w:hAnsiTheme="minorHAnsi"/>
        </w:rPr>
        <w:t>2</w:t>
      </w:r>
      <w:r w:rsidRPr="00724D29">
        <w:rPr>
          <w:rFonts w:asciiTheme="minorHAnsi" w:hAnsiTheme="minorHAnsi"/>
        </w:rPr>
        <w:t>]:</w:t>
      </w:r>
    </w:p>
    <w:p w14:paraId="7A1B40FF" w14:textId="77777777" w:rsidR="000E0127" w:rsidRPr="00A227E4" w:rsidRDefault="000E0127" w:rsidP="000E0127">
      <w:pPr>
        <w:ind w:left="567"/>
        <w:rPr>
          <w:rFonts w:cs="Times"/>
          <w:i/>
          <w:iCs/>
          <w:lang w:eastAsia="x-none"/>
        </w:rPr>
      </w:pPr>
      <w:r w:rsidRPr="00A227E4">
        <w:rPr>
          <w:rFonts w:cs="Times"/>
          <w:i/>
          <w:iCs/>
          <w:highlight w:val="green"/>
          <w:lang w:eastAsia="x-none"/>
        </w:rPr>
        <w:t>Agreement:</w:t>
      </w:r>
    </w:p>
    <w:p w14:paraId="029964B6" w14:textId="77777777" w:rsidR="000E0127" w:rsidRPr="00A227E4" w:rsidRDefault="000E0127" w:rsidP="000E0127">
      <w:pPr>
        <w:ind w:left="567"/>
        <w:rPr>
          <w:rFonts w:cs="Times"/>
          <w:i/>
          <w:iCs/>
          <w:lang w:eastAsia="x-none"/>
        </w:rPr>
      </w:pPr>
      <w:r w:rsidRPr="00A227E4">
        <w:rPr>
          <w:rFonts w:cs="Times"/>
          <w:i/>
          <w:iCs/>
          <w:lang w:eastAsia="x-none"/>
        </w:rPr>
        <w:t>For enabling multiple opportunities for HARQ A/N transmission and for cross-COT HARQ-ACK feedback, at least the following is supported:</w:t>
      </w:r>
    </w:p>
    <w:p w14:paraId="34E38FF1" w14:textId="4BEB5D04" w:rsidR="000E0127" w:rsidRPr="000E0127" w:rsidRDefault="000E0127" w:rsidP="000E0127">
      <w:pPr>
        <w:ind w:left="567"/>
        <w:rPr>
          <w:rFonts w:cs="Times"/>
          <w:i/>
          <w:iCs/>
          <w:lang w:eastAsia="x-none"/>
        </w:rPr>
      </w:pPr>
      <w:proofErr w:type="spellStart"/>
      <w:r w:rsidRPr="00A227E4">
        <w:rPr>
          <w:rFonts w:cs="Times"/>
          <w:i/>
          <w:iCs/>
          <w:lang w:eastAsia="x-none"/>
        </w:rPr>
        <w:t>gNB</w:t>
      </w:r>
      <w:proofErr w:type="spellEnd"/>
      <w:r w:rsidRPr="00A227E4">
        <w:rPr>
          <w:rFonts w:cs="Times"/>
          <w:i/>
          <w:iCs/>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11ED68EE" w14:textId="5CB3146E" w:rsidR="00DC31C1" w:rsidRPr="006E4188" w:rsidRDefault="00D05A02" w:rsidP="000E0127">
      <w:pPr>
        <w:jc w:val="both"/>
        <w:rPr>
          <w:rFonts w:asciiTheme="minorHAnsi" w:hAnsiTheme="minorHAnsi" w:cstheme="minorBidi"/>
        </w:rPr>
      </w:pPr>
      <w:r w:rsidRPr="006E4188">
        <w:rPr>
          <w:rFonts w:asciiTheme="minorHAnsi" w:hAnsiTheme="minorHAnsi" w:cstheme="minorBidi"/>
          <w:lang w:val="en-US"/>
        </w:rPr>
        <w:t>In the following</w:t>
      </w:r>
      <w:r w:rsidR="00803AAF" w:rsidRPr="006E4188">
        <w:rPr>
          <w:rFonts w:asciiTheme="minorHAnsi" w:hAnsiTheme="minorHAnsi" w:cstheme="minorBidi"/>
          <w:lang w:val="en-US"/>
        </w:rPr>
        <w:t xml:space="preserve">, </w:t>
      </w:r>
      <w:r w:rsidRPr="006E4188">
        <w:rPr>
          <w:rFonts w:asciiTheme="minorHAnsi" w:hAnsiTheme="minorHAnsi" w:cstheme="minorBidi"/>
          <w:lang w:val="en-US"/>
        </w:rPr>
        <w:t>we discuss a</w:t>
      </w:r>
      <w:r w:rsidR="000E0127" w:rsidRPr="006E4188">
        <w:rPr>
          <w:rFonts w:asciiTheme="minorHAnsi" w:hAnsiTheme="minorHAnsi" w:cstheme="minorBidi"/>
        </w:rPr>
        <w:t xml:space="preserve">n algorithm in which the </w:t>
      </w:r>
      <w:proofErr w:type="spellStart"/>
      <w:r w:rsidR="000E0127" w:rsidRPr="006E4188">
        <w:rPr>
          <w:rFonts w:asciiTheme="minorHAnsi" w:hAnsiTheme="minorHAnsi" w:cstheme="minorBidi"/>
        </w:rPr>
        <w:t>gNB</w:t>
      </w:r>
      <w:proofErr w:type="spellEnd"/>
      <w:r w:rsidR="000E0127" w:rsidRPr="006E4188">
        <w:rPr>
          <w:rFonts w:asciiTheme="minorHAnsi" w:hAnsiTheme="minorHAnsi" w:cstheme="minorBidi"/>
        </w:rPr>
        <w:t xml:space="preserve"> may trigger (re)transmission of feedback.</w:t>
      </w:r>
    </w:p>
    <w:p w14:paraId="4D189079" w14:textId="5F2705ED" w:rsidR="00B92C95" w:rsidRPr="006E4188" w:rsidRDefault="000E0127" w:rsidP="00B92C95">
      <w:pPr>
        <w:spacing w:afterLines="100" w:after="240"/>
        <w:contextualSpacing/>
        <w:rPr>
          <w:rFonts w:asciiTheme="minorHAnsi" w:hAnsiTheme="minorHAnsi"/>
        </w:rPr>
      </w:pPr>
      <w:r w:rsidRPr="006E4188">
        <w:rPr>
          <w:rFonts w:asciiTheme="minorHAnsi" w:hAnsiTheme="minorHAnsi"/>
        </w:rPr>
        <w:t xml:space="preserve">During Ad-Hoc Meeting 1901, some companies proposed to </w:t>
      </w:r>
      <w:r w:rsidR="00B92C95" w:rsidRPr="006E4188">
        <w:rPr>
          <w:rFonts w:asciiTheme="minorHAnsi" w:hAnsiTheme="minorHAnsi"/>
        </w:rPr>
        <w:t xml:space="preserve">count on the HARQ process(es) in previous COT(s) which is not acknowledged as a mean to request retransmission </w:t>
      </w:r>
      <w:r w:rsidR="009B265D" w:rsidRPr="006E4188">
        <w:rPr>
          <w:rFonts w:asciiTheme="minorHAnsi" w:hAnsiTheme="minorHAnsi"/>
        </w:rPr>
        <w:t xml:space="preserve">of unacknowledged or pending </w:t>
      </w:r>
      <w:r w:rsidR="00B92C95" w:rsidRPr="006E4188">
        <w:rPr>
          <w:rFonts w:asciiTheme="minorHAnsi" w:hAnsiTheme="minorHAnsi"/>
        </w:rPr>
        <w:t>feedback</w:t>
      </w:r>
      <w:r w:rsidR="00B7789B" w:rsidRPr="006E4188">
        <w:rPr>
          <w:rFonts w:asciiTheme="minorHAnsi" w:hAnsiTheme="minorHAnsi"/>
        </w:rPr>
        <w:t xml:space="preserve">. </w:t>
      </w:r>
      <w:r w:rsidR="009B265D" w:rsidRPr="006E4188">
        <w:rPr>
          <w:rFonts w:asciiTheme="minorHAnsi" w:hAnsiTheme="minorHAnsi"/>
        </w:rPr>
        <w:t>In figure 1,</w:t>
      </w:r>
      <w:r w:rsidR="00B7789B" w:rsidRPr="006E4188">
        <w:rPr>
          <w:rFonts w:asciiTheme="minorHAnsi" w:hAnsiTheme="minorHAnsi"/>
        </w:rPr>
        <w:t xml:space="preserve"> we </w:t>
      </w:r>
      <w:r w:rsidR="009B265D" w:rsidRPr="006E4188">
        <w:rPr>
          <w:rFonts w:asciiTheme="minorHAnsi" w:hAnsiTheme="minorHAnsi"/>
        </w:rPr>
        <w:t>demonstrate a</w:t>
      </w:r>
      <w:r w:rsidR="00B7789B" w:rsidRPr="006E4188">
        <w:rPr>
          <w:rFonts w:asciiTheme="minorHAnsi" w:hAnsiTheme="minorHAnsi"/>
        </w:rPr>
        <w:t xml:space="preserve"> corner case that </w:t>
      </w:r>
      <w:r w:rsidR="009B265D" w:rsidRPr="006E4188">
        <w:rPr>
          <w:rFonts w:asciiTheme="minorHAnsi" w:hAnsiTheme="minorHAnsi"/>
        </w:rPr>
        <w:t>cannot be handled by such a solution alone.</w:t>
      </w:r>
      <w:r w:rsidR="00B7789B" w:rsidRPr="006E4188">
        <w:rPr>
          <w:rFonts w:asciiTheme="minorHAnsi" w:hAnsiTheme="minorHAnsi"/>
        </w:rPr>
        <w:t xml:space="preserve"> </w:t>
      </w:r>
    </w:p>
    <w:p w14:paraId="1FF2DAFD" w14:textId="42C7DA8D" w:rsidR="00B7789B" w:rsidRDefault="00B7789B" w:rsidP="00B92C95">
      <w:pPr>
        <w:spacing w:afterLines="100" w:after="240"/>
        <w:contextualSpacing/>
      </w:pPr>
    </w:p>
    <w:p w14:paraId="3AE3922B" w14:textId="77777777" w:rsidR="009B265D" w:rsidRDefault="00CA12CD" w:rsidP="009B265D">
      <w:pPr>
        <w:keepNext/>
        <w:spacing w:afterLines="100" w:after="240"/>
        <w:contextualSpacing/>
      </w:pPr>
      <w:r>
        <w:rPr>
          <w:noProof/>
        </w:rPr>
        <w:lastRenderedPageBreak/>
        <w:drawing>
          <wp:inline distT="0" distB="0" distL="0" distR="0" wp14:anchorId="762D88A1" wp14:editId="6DF154D2">
            <wp:extent cx="6265150" cy="120580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11607" cy="1214743"/>
                    </a:xfrm>
                    <a:prstGeom prst="rect">
                      <a:avLst/>
                    </a:prstGeom>
                    <a:noFill/>
                  </pic:spPr>
                </pic:pic>
              </a:graphicData>
            </a:graphic>
          </wp:inline>
        </w:drawing>
      </w:r>
    </w:p>
    <w:p w14:paraId="5D23B12D" w14:textId="017803E2" w:rsidR="000E0127" w:rsidRPr="009B265D" w:rsidRDefault="009B265D" w:rsidP="009B265D">
      <w:pPr>
        <w:pStyle w:val="Caption"/>
        <w:jc w:val="center"/>
      </w:pPr>
      <w:r>
        <w:t xml:space="preserve">Figure </w:t>
      </w:r>
      <w:r w:rsidR="00BC7287">
        <w:rPr>
          <w:noProof/>
        </w:rPr>
        <w:fldChar w:fldCharType="begin"/>
      </w:r>
      <w:r w:rsidR="00BC7287">
        <w:rPr>
          <w:noProof/>
        </w:rPr>
        <w:instrText xml:space="preserve"> SEQ Figure \* ARABIC </w:instrText>
      </w:r>
      <w:r w:rsidR="00BC7287">
        <w:rPr>
          <w:noProof/>
        </w:rPr>
        <w:fldChar w:fldCharType="separate"/>
      </w:r>
      <w:r w:rsidR="004737F5">
        <w:rPr>
          <w:noProof/>
        </w:rPr>
        <w:t>1</w:t>
      </w:r>
      <w:r w:rsidR="00BC7287">
        <w:rPr>
          <w:noProof/>
        </w:rPr>
        <w:fldChar w:fldCharType="end"/>
      </w:r>
      <w:r>
        <w:t xml:space="preserve">: mis-alignment between </w:t>
      </w:r>
      <w:proofErr w:type="spellStart"/>
      <w:r>
        <w:t>gNB</w:t>
      </w:r>
      <w:proofErr w:type="spellEnd"/>
      <w:r>
        <w:t xml:space="preserve"> and UE due to missed PDSCH(s)</w:t>
      </w:r>
    </w:p>
    <w:p w14:paraId="3B342AA1" w14:textId="7993BC9F" w:rsidR="003469D2" w:rsidRPr="006E4188" w:rsidRDefault="003469D2" w:rsidP="0046247E">
      <w:pPr>
        <w:pStyle w:val="BodyText"/>
        <w:rPr>
          <w:rStyle w:val="IvDbodytextChar"/>
          <w:rFonts w:asciiTheme="minorHAnsi" w:hAnsiTheme="minorHAnsi"/>
        </w:rPr>
      </w:pPr>
      <w:r w:rsidRPr="006E4188">
        <w:rPr>
          <w:rFonts w:asciiTheme="minorHAnsi" w:hAnsiTheme="minorHAnsi"/>
        </w:rPr>
        <w:t>To resolve the possible misalignment</w:t>
      </w:r>
      <w:r w:rsidR="009F66CB" w:rsidRPr="006E4188">
        <w:rPr>
          <w:rFonts w:asciiTheme="minorHAnsi" w:hAnsiTheme="minorHAnsi"/>
        </w:rPr>
        <w:t xml:space="preserve"> </w:t>
      </w:r>
      <w:r w:rsidR="003C0AF4" w:rsidRPr="006E4188">
        <w:rPr>
          <w:rFonts w:asciiTheme="minorHAnsi" w:hAnsiTheme="minorHAnsi"/>
        </w:rPr>
        <w:t>caused by mis-detected feedback</w:t>
      </w:r>
      <w:r w:rsidRPr="006E4188">
        <w:rPr>
          <w:rFonts w:asciiTheme="minorHAnsi" w:hAnsiTheme="minorHAnsi"/>
        </w:rPr>
        <w:t>, we propose to add a toggle bit</w:t>
      </w:r>
      <w:r w:rsidR="00262E32" w:rsidRPr="006E4188">
        <w:rPr>
          <w:rFonts w:asciiTheme="minorHAnsi" w:hAnsiTheme="minorHAnsi"/>
        </w:rPr>
        <w:t>, new feedback indicator (NFI)</w:t>
      </w:r>
      <w:r w:rsidR="009F66CB" w:rsidRPr="006E4188">
        <w:rPr>
          <w:rFonts w:asciiTheme="minorHAnsi" w:hAnsiTheme="minorHAnsi"/>
        </w:rPr>
        <w:t>,</w:t>
      </w:r>
      <w:r w:rsidR="00262E32" w:rsidRPr="006E4188">
        <w:rPr>
          <w:rFonts w:asciiTheme="minorHAnsi" w:hAnsiTheme="minorHAnsi"/>
        </w:rPr>
        <w:t xml:space="preserve"> </w:t>
      </w:r>
      <w:r w:rsidRPr="006E4188">
        <w:rPr>
          <w:rFonts w:asciiTheme="minorHAnsi" w:hAnsiTheme="minorHAnsi"/>
        </w:rPr>
        <w:t>in the DCI to indicate w</w:t>
      </w:r>
      <w:r w:rsidR="00262E32" w:rsidRPr="006E4188">
        <w:rPr>
          <w:rFonts w:asciiTheme="minorHAnsi" w:hAnsiTheme="minorHAnsi"/>
        </w:rPr>
        <w:t>h</w:t>
      </w:r>
      <w:r w:rsidRPr="006E4188">
        <w:rPr>
          <w:rFonts w:asciiTheme="minorHAnsi" w:hAnsiTheme="minorHAnsi"/>
        </w:rPr>
        <w:t>e</w:t>
      </w:r>
      <w:r w:rsidR="00262E32" w:rsidRPr="006E4188">
        <w:rPr>
          <w:rFonts w:asciiTheme="minorHAnsi" w:hAnsiTheme="minorHAnsi"/>
        </w:rPr>
        <w:t xml:space="preserve">ther the </w:t>
      </w:r>
      <w:r w:rsidR="0089634B" w:rsidRPr="006E4188">
        <w:rPr>
          <w:rStyle w:val="IvDbodytextChar"/>
          <w:rFonts w:asciiTheme="minorHAnsi" w:hAnsiTheme="minorHAnsi"/>
        </w:rPr>
        <w:t xml:space="preserve">HARQ-ACK feedback from the UE was received by the </w:t>
      </w:r>
      <w:proofErr w:type="spellStart"/>
      <w:r w:rsidR="0089634B" w:rsidRPr="006E4188">
        <w:rPr>
          <w:rStyle w:val="IvDbodytextChar"/>
          <w:rFonts w:asciiTheme="minorHAnsi" w:hAnsiTheme="minorHAnsi"/>
        </w:rPr>
        <w:t>gNB</w:t>
      </w:r>
      <w:proofErr w:type="spellEnd"/>
      <w:r w:rsidR="0089634B" w:rsidRPr="006E4188">
        <w:rPr>
          <w:rStyle w:val="IvDbodytextChar"/>
          <w:rFonts w:asciiTheme="minorHAnsi" w:hAnsiTheme="minorHAnsi"/>
        </w:rPr>
        <w:t xml:space="preserve"> or not</w:t>
      </w:r>
      <w:r w:rsidR="00262E32" w:rsidRPr="006E4188">
        <w:rPr>
          <w:rStyle w:val="IvDbodytextChar"/>
          <w:rFonts w:asciiTheme="minorHAnsi" w:hAnsiTheme="minorHAnsi"/>
        </w:rPr>
        <w:t>.</w:t>
      </w:r>
      <w:r w:rsidR="009F539F" w:rsidRPr="006E4188">
        <w:rPr>
          <w:rStyle w:val="IvDbodytextChar"/>
          <w:rFonts w:asciiTheme="minorHAnsi" w:hAnsiTheme="minorHAnsi"/>
        </w:rPr>
        <w:t xml:space="preserve"> This comes on top of </w:t>
      </w:r>
      <w:r w:rsidR="009F539F" w:rsidRPr="006E4188">
        <w:rPr>
          <w:rFonts w:asciiTheme="minorHAnsi" w:hAnsiTheme="minorHAnsi"/>
        </w:rPr>
        <w:t>count on the HARQ process(es) in previous COT(s) which is not acknowledged</w:t>
      </w:r>
      <w:r w:rsidR="009F539F" w:rsidRPr="006E4188">
        <w:rPr>
          <w:rStyle w:val="IvDbodytextChar"/>
          <w:rFonts w:asciiTheme="minorHAnsi" w:hAnsiTheme="minorHAnsi"/>
        </w:rPr>
        <w:t xml:space="preserve">. </w:t>
      </w:r>
      <w:r w:rsidR="00262E32" w:rsidRPr="006E4188">
        <w:rPr>
          <w:rStyle w:val="IvDbodytextChar"/>
          <w:rFonts w:asciiTheme="minorHAnsi" w:hAnsiTheme="minorHAnsi"/>
        </w:rPr>
        <w:t xml:space="preserve">The concept is very well inspired by the New </w:t>
      </w:r>
      <w:r w:rsidR="009F66CB" w:rsidRPr="006E4188">
        <w:rPr>
          <w:rStyle w:val="IvDbodytextChar"/>
          <w:rFonts w:asciiTheme="minorHAnsi" w:hAnsiTheme="minorHAnsi"/>
        </w:rPr>
        <w:t>D</w:t>
      </w:r>
      <w:r w:rsidR="00262E32" w:rsidRPr="006E4188">
        <w:rPr>
          <w:rStyle w:val="IvDbodytextChar"/>
          <w:rFonts w:asciiTheme="minorHAnsi" w:hAnsiTheme="minorHAnsi"/>
        </w:rPr>
        <w:t xml:space="preserve">ata </w:t>
      </w:r>
      <w:r w:rsidR="009F66CB" w:rsidRPr="006E4188">
        <w:rPr>
          <w:rStyle w:val="IvDbodytextChar"/>
          <w:rFonts w:asciiTheme="minorHAnsi" w:hAnsiTheme="minorHAnsi"/>
        </w:rPr>
        <w:t>I</w:t>
      </w:r>
      <w:r w:rsidR="00262E32" w:rsidRPr="006E4188">
        <w:rPr>
          <w:rStyle w:val="IvDbodytextChar"/>
          <w:rFonts w:asciiTheme="minorHAnsi" w:hAnsiTheme="minorHAnsi"/>
        </w:rPr>
        <w:t xml:space="preserve">ndicator (NDI) used in dedicated UL grants. In a way, the </w:t>
      </w:r>
      <w:proofErr w:type="spellStart"/>
      <w:r w:rsidR="00262E32" w:rsidRPr="006E4188">
        <w:rPr>
          <w:rStyle w:val="IvDbodytextChar"/>
          <w:rFonts w:asciiTheme="minorHAnsi" w:hAnsiTheme="minorHAnsi"/>
        </w:rPr>
        <w:t>gNB</w:t>
      </w:r>
      <w:proofErr w:type="spellEnd"/>
      <w:r w:rsidR="00262E32" w:rsidRPr="006E4188">
        <w:rPr>
          <w:rStyle w:val="IvDbodytextChar"/>
          <w:rFonts w:asciiTheme="minorHAnsi" w:hAnsiTheme="minorHAnsi"/>
        </w:rPr>
        <w:t xml:space="preserve"> sends an </w:t>
      </w:r>
      <w:r w:rsidR="00B73503" w:rsidRPr="006E4188">
        <w:rPr>
          <w:rStyle w:val="IvDbodytextChar"/>
          <w:rFonts w:asciiTheme="minorHAnsi" w:hAnsiTheme="minorHAnsi"/>
        </w:rPr>
        <w:t>explicit acknowledgement</w:t>
      </w:r>
      <w:r w:rsidR="00262E32" w:rsidRPr="006E4188">
        <w:rPr>
          <w:rStyle w:val="IvDbodytextChar"/>
          <w:rFonts w:asciiTheme="minorHAnsi" w:hAnsiTheme="minorHAnsi"/>
        </w:rPr>
        <w:t xml:space="preserve"> for the feedback reception. The procedure works as follows: </w:t>
      </w:r>
    </w:p>
    <w:p w14:paraId="4240E53B" w14:textId="6605D385" w:rsidR="00262E32" w:rsidRPr="006E4188" w:rsidRDefault="00262E32" w:rsidP="001A7386">
      <w:pPr>
        <w:pStyle w:val="IvDInstructiontext"/>
        <w:numPr>
          <w:ilvl w:val="1"/>
          <w:numId w:val="15"/>
        </w:numPr>
        <w:jc w:val="both"/>
        <w:rPr>
          <w:rStyle w:val="IvDbodytextChar"/>
          <w:rFonts w:asciiTheme="minorHAnsi" w:hAnsiTheme="minorHAnsi"/>
          <w:i w:val="0"/>
          <w:color w:val="auto"/>
          <w:sz w:val="20"/>
          <w:szCs w:val="20"/>
        </w:rPr>
      </w:pPr>
      <w:r w:rsidRPr="006E4188">
        <w:rPr>
          <w:rStyle w:val="IvDbodytextChar"/>
          <w:rFonts w:asciiTheme="minorHAnsi" w:hAnsiTheme="minorHAnsi"/>
          <w:i w:val="0"/>
          <w:color w:val="auto"/>
          <w:sz w:val="20"/>
          <w:szCs w:val="20"/>
        </w:rPr>
        <w:t>Not toggle, the HARQ-ACK occasion(s) was not received, e.g. no PUCCH was received. The UE will automatically include the none received HARQ-ACK bits in the next reporting occasion on either PUSCH or PUCCH</w:t>
      </w:r>
      <w:r w:rsidR="003C0AF4" w:rsidRPr="006E4188">
        <w:rPr>
          <w:rStyle w:val="IvDbodytextChar"/>
          <w:rFonts w:asciiTheme="minorHAnsi" w:hAnsiTheme="minorHAnsi"/>
          <w:i w:val="0"/>
          <w:color w:val="auto"/>
          <w:sz w:val="20"/>
          <w:szCs w:val="20"/>
        </w:rPr>
        <w:t>. In a way, the NFI bit acts as an explicit indication to trigger feedback retransmission within the next feedback occasion.</w:t>
      </w:r>
    </w:p>
    <w:p w14:paraId="3F4EC5A4" w14:textId="1993EAE5" w:rsidR="00C328E3" w:rsidRPr="006E4188" w:rsidRDefault="00262E32" w:rsidP="001A7386">
      <w:pPr>
        <w:pStyle w:val="IvDInstructiontext"/>
        <w:numPr>
          <w:ilvl w:val="1"/>
          <w:numId w:val="15"/>
        </w:numPr>
        <w:jc w:val="both"/>
        <w:rPr>
          <w:rStyle w:val="IvDbodytextChar"/>
          <w:rFonts w:asciiTheme="minorHAnsi" w:hAnsiTheme="minorHAnsi"/>
          <w:i w:val="0"/>
          <w:color w:val="auto"/>
          <w:sz w:val="20"/>
          <w:szCs w:val="20"/>
        </w:rPr>
      </w:pPr>
      <w:r w:rsidRPr="006E4188">
        <w:rPr>
          <w:rStyle w:val="IvDbodytextChar"/>
          <w:rFonts w:asciiTheme="minorHAnsi" w:hAnsiTheme="minorHAnsi"/>
          <w:i w:val="0"/>
          <w:color w:val="auto"/>
          <w:sz w:val="20"/>
          <w:szCs w:val="20"/>
        </w:rPr>
        <w:t xml:space="preserve">Toggled. the HARQ-ACK occasion(s) was received by the </w:t>
      </w:r>
      <w:proofErr w:type="spellStart"/>
      <w:r w:rsidRPr="006E4188">
        <w:rPr>
          <w:rStyle w:val="IvDbodytextChar"/>
          <w:rFonts w:asciiTheme="minorHAnsi" w:hAnsiTheme="minorHAnsi"/>
          <w:i w:val="0"/>
          <w:color w:val="auto"/>
          <w:sz w:val="20"/>
          <w:szCs w:val="20"/>
        </w:rPr>
        <w:t>gNB</w:t>
      </w:r>
      <w:proofErr w:type="spellEnd"/>
      <w:r w:rsidR="00974086" w:rsidRPr="006E4188">
        <w:rPr>
          <w:rStyle w:val="IvDbodytextChar"/>
          <w:rFonts w:asciiTheme="minorHAnsi" w:hAnsiTheme="minorHAnsi"/>
          <w:i w:val="0"/>
          <w:color w:val="auto"/>
          <w:sz w:val="20"/>
          <w:szCs w:val="20"/>
        </w:rPr>
        <w:t xml:space="preserve">. </w:t>
      </w:r>
      <w:r w:rsidRPr="006E4188">
        <w:rPr>
          <w:rStyle w:val="IvDbodytextChar"/>
          <w:rFonts w:asciiTheme="minorHAnsi" w:hAnsiTheme="minorHAnsi"/>
          <w:i w:val="0"/>
          <w:color w:val="auto"/>
          <w:sz w:val="20"/>
          <w:szCs w:val="20"/>
        </w:rPr>
        <w:t>The UE will not include the previous HARQ-ACK bits in the next HARQ-ACK reporting occasion.</w:t>
      </w:r>
    </w:p>
    <w:p w14:paraId="0616DF1F" w14:textId="184CE610" w:rsidR="00C328E3" w:rsidRPr="006E4188" w:rsidRDefault="00C328E3" w:rsidP="00C328E3">
      <w:pPr>
        <w:pStyle w:val="IvDInstructiontext"/>
        <w:keepNext/>
        <w:jc w:val="center"/>
        <w:rPr>
          <w:rFonts w:asciiTheme="minorHAnsi" w:hAnsiTheme="minorHAnsi"/>
        </w:rPr>
      </w:pPr>
    </w:p>
    <w:p w14:paraId="5922C0C3" w14:textId="104A9799" w:rsidR="009B265D" w:rsidRPr="006E4188" w:rsidRDefault="009B265D" w:rsidP="009B265D">
      <w:pPr>
        <w:pStyle w:val="BodyText"/>
        <w:rPr>
          <w:rFonts w:asciiTheme="minorHAnsi" w:hAnsiTheme="minorHAnsi"/>
        </w:rPr>
      </w:pPr>
      <w:r w:rsidRPr="006E4188">
        <w:rPr>
          <w:rFonts w:asciiTheme="minorHAnsi" w:hAnsiTheme="minorHAnsi"/>
        </w:rPr>
        <w:t xml:space="preserve">Figure 2 shows how the problem in Figure 1 can be resolved by the introduction of NFI field in DCI. </w:t>
      </w:r>
    </w:p>
    <w:p w14:paraId="2ACA8B4A" w14:textId="77777777" w:rsidR="009F539F" w:rsidRDefault="009F539F" w:rsidP="009F539F">
      <w:pPr>
        <w:pStyle w:val="IvDInstructiontext"/>
        <w:keepNext/>
      </w:pPr>
      <w:r>
        <w:rPr>
          <w:noProof/>
        </w:rPr>
        <w:drawing>
          <wp:inline distT="0" distB="0" distL="0" distR="0" wp14:anchorId="5A9357E6" wp14:editId="2932C8E4">
            <wp:extent cx="6127859" cy="12074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6394" cy="1215063"/>
                    </a:xfrm>
                    <a:prstGeom prst="rect">
                      <a:avLst/>
                    </a:prstGeom>
                    <a:noFill/>
                  </pic:spPr>
                </pic:pic>
              </a:graphicData>
            </a:graphic>
          </wp:inline>
        </w:drawing>
      </w:r>
    </w:p>
    <w:p w14:paraId="1F462ACE" w14:textId="7CA7E5BB" w:rsidR="009B265D" w:rsidRPr="009B265D" w:rsidRDefault="009F539F" w:rsidP="009F539F">
      <w:pPr>
        <w:pStyle w:val="Caption"/>
        <w:jc w:val="center"/>
      </w:pPr>
      <w:r>
        <w:t xml:space="preserve">Figure </w:t>
      </w:r>
      <w:r w:rsidR="00BC7287">
        <w:rPr>
          <w:noProof/>
        </w:rPr>
        <w:fldChar w:fldCharType="begin"/>
      </w:r>
      <w:r w:rsidR="00BC7287">
        <w:rPr>
          <w:noProof/>
        </w:rPr>
        <w:instrText xml:space="preserve"> SEQ Figure \* ARABIC </w:instrText>
      </w:r>
      <w:r w:rsidR="00BC7287">
        <w:rPr>
          <w:noProof/>
        </w:rPr>
        <w:fldChar w:fldCharType="separate"/>
      </w:r>
      <w:r w:rsidR="004737F5">
        <w:rPr>
          <w:noProof/>
        </w:rPr>
        <w:t>2</w:t>
      </w:r>
      <w:r w:rsidR="00BC7287">
        <w:rPr>
          <w:noProof/>
        </w:rPr>
        <w:fldChar w:fldCharType="end"/>
      </w:r>
      <w:r>
        <w:t xml:space="preserve">: NFI resolved </w:t>
      </w:r>
      <w:proofErr w:type="spellStart"/>
      <w:r>
        <w:t>gNB</w:t>
      </w:r>
      <w:proofErr w:type="spellEnd"/>
      <w:r>
        <w:t xml:space="preserve"> and UE misalignment in case of missed PDSCH</w:t>
      </w:r>
    </w:p>
    <w:p w14:paraId="7B770334" w14:textId="40C0CF6F" w:rsidR="009B265D" w:rsidRPr="006E4188" w:rsidRDefault="009F539F" w:rsidP="00956866">
      <w:pPr>
        <w:pStyle w:val="IvDInstructiontext"/>
        <w:jc w:val="both"/>
        <w:rPr>
          <w:rStyle w:val="IvDbodytextChar"/>
          <w:rFonts w:asciiTheme="minorHAnsi" w:hAnsiTheme="minorHAnsi"/>
          <w:i w:val="0"/>
          <w:color w:val="auto"/>
          <w:sz w:val="20"/>
          <w:szCs w:val="20"/>
        </w:rPr>
      </w:pPr>
      <w:r w:rsidRPr="006E4188">
        <w:rPr>
          <w:rStyle w:val="IvDbodytextChar"/>
          <w:rFonts w:asciiTheme="minorHAnsi" w:hAnsiTheme="minorHAnsi"/>
          <w:i w:val="0"/>
          <w:color w:val="auto"/>
          <w:sz w:val="20"/>
          <w:szCs w:val="20"/>
        </w:rPr>
        <w:t xml:space="preserve">Figure </w:t>
      </w:r>
      <w:r w:rsidR="004737F5" w:rsidRPr="006E4188">
        <w:rPr>
          <w:rStyle w:val="IvDbodytextChar"/>
          <w:rFonts w:asciiTheme="minorHAnsi" w:hAnsiTheme="minorHAnsi"/>
          <w:i w:val="0"/>
          <w:color w:val="auto"/>
          <w:sz w:val="20"/>
          <w:szCs w:val="20"/>
        </w:rPr>
        <w:t>3</w:t>
      </w:r>
      <w:r w:rsidRPr="006E4188">
        <w:rPr>
          <w:rStyle w:val="IvDbodytextChar"/>
          <w:rFonts w:asciiTheme="minorHAnsi" w:hAnsiTheme="minorHAnsi"/>
          <w:i w:val="0"/>
          <w:color w:val="auto"/>
          <w:sz w:val="20"/>
          <w:szCs w:val="20"/>
        </w:rPr>
        <w:t xml:space="preserve"> are an example to highlight how the introduction of NFI bit helps the UE </w:t>
      </w:r>
      <w:r w:rsidR="00956866" w:rsidRPr="006E4188">
        <w:rPr>
          <w:rStyle w:val="IvDbodytextChar"/>
          <w:rFonts w:asciiTheme="minorHAnsi" w:hAnsiTheme="minorHAnsi"/>
          <w:i w:val="0"/>
          <w:color w:val="auto"/>
          <w:sz w:val="20"/>
          <w:szCs w:val="20"/>
        </w:rPr>
        <w:t xml:space="preserve">distinguish mis-detected PUCCH and mis-detected PDSCH so that the correct feedback is reported. </w:t>
      </w:r>
    </w:p>
    <w:p w14:paraId="66B14A74" w14:textId="775D738B" w:rsidR="004737F5" w:rsidRDefault="00825F2B" w:rsidP="004737F5">
      <w:pPr>
        <w:pStyle w:val="IvDInstructiontext"/>
        <w:keepNext/>
        <w:jc w:val="both"/>
      </w:pPr>
      <w:r>
        <w:rPr>
          <w:noProof/>
        </w:rPr>
        <w:drawing>
          <wp:inline distT="0" distB="0" distL="0" distR="0" wp14:anchorId="56EE4BFB" wp14:editId="4780FBEC">
            <wp:extent cx="5663825" cy="20484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78591" cy="2053762"/>
                    </a:xfrm>
                    <a:prstGeom prst="rect">
                      <a:avLst/>
                    </a:prstGeom>
                    <a:noFill/>
                  </pic:spPr>
                </pic:pic>
              </a:graphicData>
            </a:graphic>
          </wp:inline>
        </w:drawing>
      </w:r>
    </w:p>
    <w:p w14:paraId="2C220A84" w14:textId="749C1641" w:rsidR="00EC4D02" w:rsidRDefault="004737F5" w:rsidP="004737F5">
      <w:pPr>
        <w:pStyle w:val="Caption"/>
        <w:jc w:val="center"/>
        <w:rPr>
          <w:rStyle w:val="IvDbodytextChar"/>
          <w:i/>
        </w:rPr>
      </w:pPr>
      <w:r>
        <w:t xml:space="preserve">Figure </w:t>
      </w:r>
      <w:r w:rsidR="00BC7287">
        <w:rPr>
          <w:noProof/>
        </w:rPr>
        <w:fldChar w:fldCharType="begin"/>
      </w:r>
      <w:r w:rsidR="00BC7287">
        <w:rPr>
          <w:noProof/>
        </w:rPr>
        <w:instrText xml:space="preserve"> SEQ Figure \* ARABIC </w:instrText>
      </w:r>
      <w:r w:rsidR="00BC7287">
        <w:rPr>
          <w:noProof/>
        </w:rPr>
        <w:fldChar w:fldCharType="separate"/>
      </w:r>
      <w:r>
        <w:rPr>
          <w:noProof/>
        </w:rPr>
        <w:t>3</w:t>
      </w:r>
      <w:r w:rsidR="00BC7287">
        <w:rPr>
          <w:noProof/>
        </w:rPr>
        <w:fldChar w:fldCharType="end"/>
      </w:r>
      <w:r>
        <w:t>: NFI in case of PUCCH and/or PDSCH misdetection</w:t>
      </w:r>
    </w:p>
    <w:p w14:paraId="5B550B6B" w14:textId="77777777" w:rsidR="00956866" w:rsidRPr="009F539F" w:rsidRDefault="00956866" w:rsidP="00956866">
      <w:pPr>
        <w:pStyle w:val="IvDInstructiontext"/>
        <w:jc w:val="both"/>
        <w:rPr>
          <w:i w:val="0"/>
          <w:color w:val="auto"/>
          <w:sz w:val="20"/>
          <w:szCs w:val="20"/>
        </w:rPr>
      </w:pPr>
    </w:p>
    <w:p w14:paraId="1F8368CD" w14:textId="082DB8BC" w:rsidR="008515AD" w:rsidRPr="008515AD" w:rsidRDefault="008515AD" w:rsidP="00974086">
      <w:pPr>
        <w:pStyle w:val="Proposal"/>
        <w:tabs>
          <w:tab w:val="clear" w:pos="1304"/>
        </w:tabs>
        <w:ind w:left="1701" w:hanging="1701"/>
      </w:pPr>
      <w:bookmarkStart w:id="10" w:name="_Toc1133776"/>
      <w:r>
        <w:t xml:space="preserve">Support the following </w:t>
      </w:r>
      <w:r w:rsidR="00746B31">
        <w:t>enhancements</w:t>
      </w:r>
      <w:r>
        <w:t xml:space="preserve"> for dynamic codebook HARQ:</w:t>
      </w:r>
      <w:bookmarkEnd w:id="10"/>
      <w:r>
        <w:t xml:space="preserve"> </w:t>
      </w:r>
    </w:p>
    <w:p w14:paraId="682A6AB7" w14:textId="14B171F4" w:rsidR="008515AD" w:rsidRDefault="00746B31" w:rsidP="008515AD">
      <w:pPr>
        <w:pStyle w:val="Proposal"/>
        <w:numPr>
          <w:ilvl w:val="1"/>
          <w:numId w:val="2"/>
        </w:numPr>
      </w:pPr>
      <w:bookmarkStart w:id="11" w:name="_Toc1133777"/>
      <w:r w:rsidRPr="00796BAD">
        <w:t xml:space="preserve">If the </w:t>
      </w:r>
      <w:proofErr w:type="spellStart"/>
      <w:r w:rsidRPr="00796BAD">
        <w:t>gNB</w:t>
      </w:r>
      <w:proofErr w:type="spellEnd"/>
      <w:r w:rsidRPr="00796BAD">
        <w:t xml:space="preserve"> failed to receive the scheduled feedback, the </w:t>
      </w:r>
      <w:proofErr w:type="spellStart"/>
      <w:r w:rsidR="008515AD" w:rsidRPr="00796BAD">
        <w:t>gNB</w:t>
      </w:r>
      <w:proofErr w:type="spellEnd"/>
      <w:r w:rsidR="008515AD" w:rsidRPr="00796BAD">
        <w:t xml:space="preserve"> </w:t>
      </w:r>
      <w:r w:rsidR="00796BAD">
        <w:t>adds</w:t>
      </w:r>
      <w:r w:rsidR="008515AD" w:rsidRPr="00796BAD">
        <w:t xml:space="preserve"> on the </w:t>
      </w:r>
      <w:r w:rsidRPr="00796BAD">
        <w:t>pending feedback</w:t>
      </w:r>
      <w:r w:rsidR="00FA2A9A" w:rsidRPr="00796BAD">
        <w:t xml:space="preserve"> </w:t>
      </w:r>
      <w:r w:rsidR="00796BAD" w:rsidRPr="00796BAD">
        <w:t xml:space="preserve">of unacknowledged HARQ processes </w:t>
      </w:r>
      <w:r w:rsidR="00796BAD">
        <w:t>to</w:t>
      </w:r>
      <w:r w:rsidR="00FA2A9A" w:rsidRPr="00796BAD">
        <w:t xml:space="preserve"> th</w:t>
      </w:r>
      <w:r w:rsidR="00796BAD" w:rsidRPr="00796BAD">
        <w:t>e</w:t>
      </w:r>
      <w:r w:rsidR="00FA2A9A" w:rsidRPr="00796BAD">
        <w:t xml:space="preserve"> </w:t>
      </w:r>
      <w:r w:rsidR="00796BAD">
        <w:t xml:space="preserve">ongoing </w:t>
      </w:r>
      <w:r w:rsidR="00FA2A9A" w:rsidRPr="00796BAD">
        <w:t>DAI</w:t>
      </w:r>
      <w:r w:rsidR="00796BAD">
        <w:t xml:space="preserve"> value</w:t>
      </w:r>
      <w:r w:rsidR="00796BAD" w:rsidRPr="00796BAD">
        <w:t>.</w:t>
      </w:r>
      <w:bookmarkEnd w:id="11"/>
      <w:r w:rsidRPr="00796BAD">
        <w:t xml:space="preserve"> </w:t>
      </w:r>
      <w:r w:rsidR="008515AD" w:rsidRPr="00796BAD">
        <w:t xml:space="preserve"> </w:t>
      </w:r>
    </w:p>
    <w:p w14:paraId="5B47414B" w14:textId="07266CD9" w:rsidR="00974086" w:rsidRDefault="009461E1" w:rsidP="008515AD">
      <w:pPr>
        <w:pStyle w:val="Proposal"/>
        <w:numPr>
          <w:ilvl w:val="1"/>
          <w:numId w:val="2"/>
        </w:numPr>
      </w:pPr>
      <w:bookmarkStart w:id="12" w:name="_Toc1133778"/>
      <w:r w:rsidRPr="009461E1">
        <w:t xml:space="preserve">Introduce a toggle bit (NFI) in a DCI to indicate whether the expected HARQ-ACK feedback(s) from the UE was correctly received by the </w:t>
      </w:r>
      <w:proofErr w:type="spellStart"/>
      <w:r w:rsidRPr="009461E1">
        <w:t>gNB</w:t>
      </w:r>
      <w:proofErr w:type="spellEnd"/>
      <w:r w:rsidRPr="009461E1">
        <w:t xml:space="preserve"> or not</w:t>
      </w:r>
      <w:r w:rsidR="00974086">
        <w:t>.</w:t>
      </w:r>
      <w:bookmarkEnd w:id="12"/>
    </w:p>
    <w:p w14:paraId="63B1E19C" w14:textId="44F0E71F" w:rsidR="00974086" w:rsidRPr="00974086" w:rsidRDefault="00974086" w:rsidP="008515AD">
      <w:pPr>
        <w:pStyle w:val="Proposal"/>
        <w:numPr>
          <w:ilvl w:val="2"/>
          <w:numId w:val="2"/>
        </w:numPr>
        <w:rPr>
          <w:rStyle w:val="IvDbodytextChar"/>
          <w:spacing w:val="0"/>
          <w:lang w:val="en-GB" w:eastAsia="zh-CN"/>
        </w:rPr>
      </w:pPr>
      <w:bookmarkStart w:id="13" w:name="_Toc1133779"/>
      <w:r w:rsidRPr="00974086">
        <w:rPr>
          <w:rStyle w:val="IvDbodytextChar"/>
        </w:rPr>
        <w:t>Not toggle</w:t>
      </w:r>
      <w:r w:rsidR="00802495">
        <w:rPr>
          <w:rStyle w:val="IvDbodytextChar"/>
        </w:rPr>
        <w:t xml:space="preserve">: </w:t>
      </w:r>
      <w:r w:rsidRPr="00974086">
        <w:rPr>
          <w:rStyle w:val="IvDbodytextChar"/>
        </w:rPr>
        <w:t xml:space="preserve">the HARQ-ACK occasion(s) </w:t>
      </w:r>
      <w:r>
        <w:rPr>
          <w:rStyle w:val="IvDbodytextChar"/>
        </w:rPr>
        <w:t xml:space="preserve">since the bit was last toggled </w:t>
      </w:r>
      <w:r w:rsidRPr="00974086">
        <w:rPr>
          <w:rStyle w:val="IvDbodytextChar"/>
        </w:rPr>
        <w:t>was not received. The UE will automatically include the none received HARQ-ACK bits in the next reporting occasion</w:t>
      </w:r>
      <w:bookmarkEnd w:id="13"/>
    </w:p>
    <w:p w14:paraId="5F9AAF74" w14:textId="5F85C724" w:rsidR="00974086" w:rsidRPr="00974086" w:rsidRDefault="00974086" w:rsidP="008515AD">
      <w:pPr>
        <w:pStyle w:val="Proposal"/>
        <w:numPr>
          <w:ilvl w:val="2"/>
          <w:numId w:val="2"/>
        </w:numPr>
        <w:rPr>
          <w:rStyle w:val="IvDbodytextChar"/>
          <w:spacing w:val="0"/>
          <w:lang w:val="en-GB" w:eastAsia="zh-CN"/>
        </w:rPr>
      </w:pPr>
      <w:bookmarkStart w:id="14" w:name="_Toc1133780"/>
      <w:r w:rsidRPr="00974086">
        <w:rPr>
          <w:rStyle w:val="IvDbodytextChar"/>
        </w:rPr>
        <w:t>Toggled</w:t>
      </w:r>
      <w:r w:rsidR="00802495">
        <w:rPr>
          <w:rStyle w:val="IvDbodytextChar"/>
        </w:rPr>
        <w:t>:</w:t>
      </w:r>
      <w:r w:rsidRPr="00974086">
        <w:rPr>
          <w:rStyle w:val="IvDbodytextChar"/>
        </w:rPr>
        <w:t xml:space="preserve"> </w:t>
      </w:r>
      <w:r w:rsidR="00802495">
        <w:rPr>
          <w:rStyle w:val="IvDbodytextChar"/>
        </w:rPr>
        <w:t>t</w:t>
      </w:r>
      <w:r w:rsidRPr="00974086">
        <w:rPr>
          <w:rStyle w:val="IvDbodytextChar"/>
        </w:rPr>
        <w:t xml:space="preserve">he HARQ-ACK occasion(s) </w:t>
      </w:r>
      <w:r>
        <w:rPr>
          <w:rStyle w:val="IvDbodytextChar"/>
        </w:rPr>
        <w:t xml:space="preserve">since the bit was last toggled </w:t>
      </w:r>
      <w:r w:rsidRPr="00974086">
        <w:rPr>
          <w:rStyle w:val="IvDbodytextChar"/>
        </w:rPr>
        <w:t xml:space="preserve">was received by the </w:t>
      </w:r>
      <w:proofErr w:type="spellStart"/>
      <w:r w:rsidRPr="00974086">
        <w:rPr>
          <w:rStyle w:val="IvDbodytextChar"/>
        </w:rPr>
        <w:t>gNB</w:t>
      </w:r>
      <w:bookmarkEnd w:id="14"/>
      <w:proofErr w:type="spellEnd"/>
    </w:p>
    <w:p w14:paraId="2A7F81F8" w14:textId="16FB03E8" w:rsidR="001C6089" w:rsidRDefault="001C6089" w:rsidP="002A7A8E">
      <w:pPr>
        <w:pStyle w:val="BodyText"/>
        <w:pBdr>
          <w:bottom w:val="single" w:sz="6" w:space="1" w:color="auto"/>
        </w:pBdr>
      </w:pPr>
    </w:p>
    <w:p w14:paraId="548F224B" w14:textId="07EBC652" w:rsidR="00CA5B2F" w:rsidRDefault="002A7A8E" w:rsidP="00CA5B2F">
      <w:pPr>
        <w:pStyle w:val="Heading3"/>
        <w:rPr>
          <w:rFonts w:eastAsia="Batang"/>
        </w:rPr>
      </w:pPr>
      <w:r>
        <w:t>2.</w:t>
      </w:r>
      <w:r w:rsidR="00BE135D">
        <w:t>3</w:t>
      </w:r>
      <w:r>
        <w:tab/>
      </w:r>
      <w:r w:rsidR="00CA5B2F">
        <w:rPr>
          <w:rFonts w:eastAsia="Batang"/>
        </w:rPr>
        <w:t>PUSCH scheduling</w:t>
      </w:r>
    </w:p>
    <w:p w14:paraId="0558E796" w14:textId="462B357D" w:rsidR="00115913" w:rsidRPr="00537950" w:rsidRDefault="00CA5B2F" w:rsidP="00537950">
      <w:pPr>
        <w:rPr>
          <w:rFonts w:asciiTheme="minorHAnsi" w:hAnsiTheme="minorHAnsi"/>
        </w:rPr>
      </w:pPr>
      <w:r w:rsidRPr="006E4188">
        <w:rPr>
          <w:rFonts w:asciiTheme="minorHAnsi" w:hAnsiTheme="minorHAnsi"/>
        </w:rPr>
        <w:t>During Ad-Hoc Meeting 1901, a proposal related to handling the longest COT was made to extend the number of bits in the UL PUSCH time domain resource assignment field to allow scheduling PUSCH with the longest COT.</w:t>
      </w:r>
    </w:p>
    <w:p w14:paraId="27AC3DDE" w14:textId="19A1E69D" w:rsidR="00627091" w:rsidRPr="006E4188" w:rsidRDefault="006B1876" w:rsidP="00627091">
      <w:pPr>
        <w:rPr>
          <w:rFonts w:asciiTheme="minorHAnsi" w:eastAsia="Batang" w:hAnsiTheme="minorHAnsi"/>
          <w:kern w:val="2"/>
          <w:szCs w:val="22"/>
          <w:lang w:eastAsia="ko-KR"/>
        </w:rPr>
      </w:pPr>
      <w:r w:rsidRPr="006E4188">
        <w:rPr>
          <w:rFonts w:asciiTheme="minorHAnsi" w:eastAsia="Batang" w:hAnsiTheme="minorHAnsi"/>
          <w:kern w:val="2"/>
          <w:szCs w:val="22"/>
          <w:lang w:eastAsia="ko-KR"/>
        </w:rPr>
        <w:t>Rel-15 NR already supports scheduling an UL slot that is 4</w:t>
      </w:r>
      <w:r w:rsidR="00627091" w:rsidRPr="006E4188">
        <w:rPr>
          <w:rFonts w:asciiTheme="minorHAnsi" w:eastAsia="Batang" w:hAnsiTheme="minorHAnsi"/>
          <w:kern w:val="2"/>
          <w:szCs w:val="22"/>
          <w:lang w:eastAsia="ko-KR"/>
        </w:rPr>
        <w:t>/5</w:t>
      </w:r>
      <w:r w:rsidRPr="006E4188">
        <w:rPr>
          <w:rFonts w:asciiTheme="minorHAnsi" w:eastAsia="Batang" w:hAnsiTheme="minorHAnsi"/>
          <w:kern w:val="2"/>
          <w:szCs w:val="22"/>
          <w:lang w:eastAsia="ko-KR"/>
        </w:rPr>
        <w:t xml:space="preserve"> slots</w:t>
      </w:r>
      <w:r w:rsidR="00627091" w:rsidRPr="006E4188">
        <w:rPr>
          <w:rFonts w:asciiTheme="minorHAnsi" w:eastAsia="Batang" w:hAnsiTheme="minorHAnsi"/>
          <w:kern w:val="2"/>
          <w:szCs w:val="22"/>
          <w:lang w:eastAsia="ko-KR"/>
        </w:rPr>
        <w:t xml:space="preserve"> in the future. Besides, it was already agreed, that multi-slot scheduling is supported in NR, meaning that it should be possible to schedule an UL burst that starts after an offset (1 to 5 slots) and extends for the duration of X slots. X should be long enough to minimize the grant transmission overhead. </w:t>
      </w:r>
    </w:p>
    <w:p w14:paraId="7B23E0D9" w14:textId="42E0636E" w:rsidR="00CA5B2F" w:rsidRPr="00537950" w:rsidRDefault="00627091" w:rsidP="001C6809">
      <w:pPr>
        <w:rPr>
          <w:rFonts w:asciiTheme="minorHAnsi" w:eastAsia="Batang" w:hAnsiTheme="minorHAnsi"/>
          <w:kern w:val="2"/>
          <w:szCs w:val="22"/>
          <w:lang w:eastAsia="ko-KR"/>
        </w:rPr>
      </w:pPr>
      <w:r w:rsidRPr="006E4188">
        <w:rPr>
          <w:rFonts w:asciiTheme="minorHAnsi" w:eastAsia="Batang" w:hAnsiTheme="minorHAnsi"/>
          <w:kern w:val="2"/>
          <w:szCs w:val="22"/>
          <w:lang w:eastAsia="ko-KR"/>
        </w:rPr>
        <w:t xml:space="preserve">Of course, </w:t>
      </w:r>
      <w:r w:rsidR="00002005" w:rsidRPr="006E4188">
        <w:rPr>
          <w:rFonts w:asciiTheme="minorHAnsi" w:eastAsia="Batang" w:hAnsiTheme="minorHAnsi"/>
          <w:kern w:val="2"/>
          <w:szCs w:val="22"/>
          <w:lang w:eastAsia="ko-KR"/>
        </w:rPr>
        <w:t xml:space="preserve">NR-U has enough flexibility to support multiple switching points within a COT. Scheduling an UL slot from the beginning of the COT to the last slot seems to be unnecessary optimization that assumes that the </w:t>
      </w:r>
      <w:proofErr w:type="spellStart"/>
      <w:r w:rsidR="00002005" w:rsidRPr="006E4188">
        <w:rPr>
          <w:rFonts w:asciiTheme="minorHAnsi" w:eastAsia="Batang" w:hAnsiTheme="minorHAnsi"/>
          <w:kern w:val="2"/>
          <w:szCs w:val="22"/>
          <w:lang w:eastAsia="ko-KR"/>
        </w:rPr>
        <w:t>gNB</w:t>
      </w:r>
      <w:proofErr w:type="spellEnd"/>
      <w:r w:rsidR="00002005" w:rsidRPr="006E4188">
        <w:rPr>
          <w:rFonts w:asciiTheme="minorHAnsi" w:eastAsia="Batang" w:hAnsiTheme="minorHAnsi"/>
          <w:kern w:val="2"/>
          <w:szCs w:val="22"/>
          <w:lang w:eastAsia="ko-KR"/>
        </w:rPr>
        <w:t xml:space="preserve"> pre-decides on the whole COT structure from the beginning of the COT</w:t>
      </w:r>
      <w:r w:rsidR="00537950">
        <w:rPr>
          <w:rFonts w:asciiTheme="minorHAnsi" w:eastAsia="Batang" w:hAnsiTheme="minorHAnsi"/>
          <w:kern w:val="2"/>
          <w:szCs w:val="22"/>
          <w:lang w:eastAsia="ko-KR"/>
        </w:rPr>
        <w:t>. At this point, it is not clear if extension of the PUSCH time resources critically needed.</w:t>
      </w:r>
    </w:p>
    <w:p w14:paraId="408A6D83" w14:textId="7BDC0035" w:rsidR="002A7A8E" w:rsidRDefault="00CA5B2F" w:rsidP="002A7A8E">
      <w:pPr>
        <w:pStyle w:val="Heading2"/>
      </w:pPr>
      <w:r>
        <w:t>2.4</w:t>
      </w:r>
      <w:r w:rsidR="002A7A8E">
        <w:tab/>
        <w:t>Multi TTI scheduling</w:t>
      </w:r>
    </w:p>
    <w:p w14:paraId="4DC4753A" w14:textId="4D142543" w:rsidR="00A479A6" w:rsidRPr="006E4188" w:rsidRDefault="00A479A6" w:rsidP="002A7A8E">
      <w:pPr>
        <w:spacing w:line="259" w:lineRule="auto"/>
        <w:rPr>
          <w:rFonts w:asciiTheme="minorHAnsi" w:hAnsiTheme="minorHAnsi" w:cstheme="minorBidi"/>
        </w:rPr>
      </w:pPr>
      <w:r w:rsidRPr="006E4188">
        <w:rPr>
          <w:rFonts w:asciiTheme="minorHAnsi" w:hAnsiTheme="minorHAnsi" w:cstheme="minorBidi"/>
        </w:rPr>
        <w:t>During the SI phase, it was agreed that</w:t>
      </w:r>
    </w:p>
    <w:p w14:paraId="58A088E6" w14:textId="77777777" w:rsidR="00A479A6" w:rsidRPr="006E4188" w:rsidDel="00A479A6" w:rsidRDefault="00A479A6" w:rsidP="00A479A6">
      <w:pPr>
        <w:pStyle w:val="ListParagraph"/>
        <w:numPr>
          <w:ilvl w:val="0"/>
          <w:numId w:val="16"/>
        </w:numPr>
        <w:overflowPunct/>
        <w:autoSpaceDE/>
        <w:autoSpaceDN/>
        <w:adjustRightInd/>
        <w:spacing w:line="259" w:lineRule="auto"/>
        <w:contextualSpacing/>
        <w:rPr>
          <w:rFonts w:asciiTheme="minorHAnsi" w:hAnsiTheme="minorHAnsi" w:cstheme="minorBidi"/>
          <w:sz w:val="20"/>
          <w:szCs w:val="20"/>
        </w:rPr>
      </w:pPr>
      <w:r w:rsidRPr="006E4188" w:rsidDel="00A479A6">
        <w:rPr>
          <w:rFonts w:asciiTheme="minorHAnsi" w:hAnsiTheme="minorHAnsi" w:cstheme="minorBidi"/>
          <w:sz w:val="20"/>
          <w:szCs w:val="20"/>
        </w:rPr>
        <w:t xml:space="preserve">Scheduling multiple TTIs for PUSCH each using a separate UL grant in the same PDCCH monitoring occasion is identified as beneficial </w:t>
      </w:r>
    </w:p>
    <w:p w14:paraId="21B0B7BF" w14:textId="77777777" w:rsidR="00A479A6" w:rsidRPr="006E4188" w:rsidDel="00A479A6" w:rsidRDefault="00A479A6" w:rsidP="00A479A6">
      <w:pPr>
        <w:pStyle w:val="ListParagraph"/>
        <w:numPr>
          <w:ilvl w:val="0"/>
          <w:numId w:val="16"/>
        </w:numPr>
        <w:overflowPunct/>
        <w:autoSpaceDE/>
        <w:autoSpaceDN/>
        <w:adjustRightInd/>
        <w:spacing w:line="259" w:lineRule="auto"/>
        <w:contextualSpacing/>
        <w:rPr>
          <w:rFonts w:asciiTheme="minorHAnsi" w:hAnsiTheme="minorHAnsi" w:cstheme="minorBidi"/>
          <w:sz w:val="20"/>
          <w:szCs w:val="20"/>
        </w:rPr>
      </w:pPr>
      <w:r w:rsidRPr="006E4188" w:rsidDel="00A479A6">
        <w:rPr>
          <w:rFonts w:asciiTheme="minorHAnsi" w:hAnsiTheme="minorHAnsi" w:cstheme="minorBidi"/>
          <w:sz w:val="20"/>
          <w:szCs w:val="20"/>
        </w:rPr>
        <w:t>Scheduling multiple TTIs for PUSCH using a single UL grant is identified as beneficial and should be supported in NR-U</w:t>
      </w:r>
    </w:p>
    <w:p w14:paraId="043718EB" w14:textId="52F9D45E" w:rsidR="00B30D2B" w:rsidRPr="006E4188" w:rsidRDefault="00B30D2B" w:rsidP="00B30D2B">
      <w:pPr>
        <w:pStyle w:val="ListParagraph"/>
        <w:overflowPunct/>
        <w:autoSpaceDE/>
        <w:autoSpaceDN/>
        <w:adjustRightInd/>
        <w:spacing w:line="259" w:lineRule="auto"/>
        <w:contextualSpacing/>
        <w:rPr>
          <w:rFonts w:asciiTheme="minorHAnsi" w:hAnsiTheme="minorHAnsi" w:cstheme="minorBidi"/>
          <w:sz w:val="20"/>
          <w:szCs w:val="20"/>
        </w:rPr>
      </w:pPr>
    </w:p>
    <w:p w14:paraId="6981957B" w14:textId="75CF3036" w:rsidR="00C61BB4" w:rsidRPr="006E4188" w:rsidRDefault="00A479A6" w:rsidP="00C61BB4">
      <w:pPr>
        <w:pStyle w:val="BodyText"/>
        <w:rPr>
          <w:rFonts w:asciiTheme="minorHAnsi" w:hAnsiTheme="minorHAnsi" w:cstheme="minorBidi"/>
        </w:rPr>
      </w:pPr>
      <w:r w:rsidRPr="006E4188">
        <w:rPr>
          <w:rFonts w:asciiTheme="minorHAnsi" w:hAnsiTheme="minorHAnsi" w:cstheme="minorBidi"/>
          <w:lang w:val="en-US"/>
        </w:rPr>
        <w:t xml:space="preserve">The previous agreement on multiple TTIs implies that </w:t>
      </w:r>
      <w:r w:rsidR="00C61BB4" w:rsidRPr="006E4188">
        <w:rPr>
          <w:rFonts w:asciiTheme="minorHAnsi" w:hAnsiTheme="minorHAnsi" w:cstheme="minorBidi"/>
          <w:lang w:val="en-US"/>
        </w:rPr>
        <w:t>NR-U should at least support scheduling multiple TBs with different HARQ process IDs in multiple slots using a single UL grant</w:t>
      </w:r>
      <w:r w:rsidR="00DF6BA7" w:rsidRPr="006E4188">
        <w:rPr>
          <w:rFonts w:asciiTheme="minorHAnsi" w:hAnsiTheme="minorHAnsi" w:cstheme="minorBidi"/>
        </w:rPr>
        <w:t>.</w:t>
      </w:r>
    </w:p>
    <w:p w14:paraId="66CF0E9A" w14:textId="72E944A9" w:rsidR="00C725D8" w:rsidRPr="006E4188" w:rsidRDefault="008D6499" w:rsidP="00B30D2B">
      <w:pPr>
        <w:pStyle w:val="BodyText"/>
        <w:rPr>
          <w:rFonts w:asciiTheme="minorHAnsi" w:hAnsiTheme="minorHAnsi" w:cstheme="minorBidi"/>
        </w:rPr>
      </w:pPr>
      <w:r w:rsidRPr="006E4188">
        <w:rPr>
          <w:rFonts w:asciiTheme="minorHAnsi" w:hAnsiTheme="minorHAnsi" w:cstheme="minorBidi"/>
        </w:rPr>
        <w:t>Two</w:t>
      </w:r>
      <w:r w:rsidR="00B30D2B" w:rsidRPr="006E4188">
        <w:rPr>
          <w:rFonts w:asciiTheme="minorHAnsi" w:hAnsiTheme="minorHAnsi" w:cstheme="minorBidi"/>
        </w:rPr>
        <w:t xml:space="preserve"> options for multi-TTI scheduling</w:t>
      </w:r>
      <w:r w:rsidR="002950C5" w:rsidRPr="006E4188">
        <w:rPr>
          <w:rFonts w:asciiTheme="minorHAnsi" w:hAnsiTheme="minorHAnsi" w:cstheme="minorBidi"/>
        </w:rPr>
        <w:t xml:space="preserve"> were considered</w:t>
      </w:r>
      <w:r w:rsidR="00B30D2B" w:rsidRPr="006E4188">
        <w:rPr>
          <w:rFonts w:asciiTheme="minorHAnsi" w:hAnsiTheme="minorHAnsi" w:cstheme="minorBidi"/>
        </w:rPr>
        <w:t xml:space="preserve">: (1) one TB per TTI, </w:t>
      </w:r>
      <w:r w:rsidR="002950C5" w:rsidRPr="006E4188">
        <w:rPr>
          <w:rFonts w:asciiTheme="minorHAnsi" w:hAnsiTheme="minorHAnsi" w:cstheme="minorBidi"/>
        </w:rPr>
        <w:t>like</w:t>
      </w:r>
      <w:r w:rsidR="00B30D2B" w:rsidRPr="006E4188">
        <w:rPr>
          <w:rFonts w:asciiTheme="minorHAnsi" w:hAnsiTheme="minorHAnsi" w:cstheme="minorBidi"/>
        </w:rPr>
        <w:t xml:space="preserve"> what was done in rel-14 multi-subframe scheduling for LAA, or (2) one TB across multiple TTI. The lat</w:t>
      </w:r>
      <w:r w:rsidR="002950C5" w:rsidRPr="006E4188">
        <w:rPr>
          <w:rFonts w:asciiTheme="minorHAnsi" w:hAnsiTheme="minorHAnsi" w:cstheme="minorBidi"/>
        </w:rPr>
        <w:t>t</w:t>
      </w:r>
      <w:r w:rsidR="00B30D2B" w:rsidRPr="006E4188">
        <w:rPr>
          <w:rFonts w:asciiTheme="minorHAnsi" w:hAnsiTheme="minorHAnsi" w:cstheme="minorBidi"/>
        </w:rPr>
        <w:t xml:space="preserve">er requires more changes to NR specifications, without strong motivation for that. With larger subcarrier spacing, it is easier to exhaust all the 16 HARQ for one UE within less than a MCOT duration. However, this is only true with 60KHz subcarrier spacing. Also, it would be a limiting factor if only one UE has data to transmit/receive. Otherwise, the </w:t>
      </w:r>
      <w:proofErr w:type="spellStart"/>
      <w:r w:rsidR="00B30D2B" w:rsidRPr="006E4188">
        <w:rPr>
          <w:rFonts w:asciiTheme="minorHAnsi" w:hAnsiTheme="minorHAnsi" w:cstheme="minorBidi"/>
        </w:rPr>
        <w:t>gNB</w:t>
      </w:r>
      <w:proofErr w:type="spellEnd"/>
      <w:r w:rsidR="00B30D2B" w:rsidRPr="006E4188">
        <w:rPr>
          <w:rFonts w:asciiTheme="minorHAnsi" w:hAnsiTheme="minorHAnsi" w:cstheme="minorBidi"/>
        </w:rPr>
        <w:t xml:space="preserve"> can always time multiplex transmissions to/from different UEs within the same COT. </w:t>
      </w:r>
    </w:p>
    <w:p w14:paraId="64CE2428" w14:textId="7A939E6D" w:rsidR="0064674A" w:rsidRPr="006E4188" w:rsidRDefault="00387317" w:rsidP="00DF6BA7">
      <w:pPr>
        <w:pStyle w:val="CommentText"/>
        <w:rPr>
          <w:rFonts w:asciiTheme="minorHAnsi" w:hAnsiTheme="minorHAnsi" w:cstheme="minorBidi"/>
          <w:lang w:eastAsia="zh-CN"/>
        </w:rPr>
      </w:pPr>
      <w:r w:rsidRPr="006E4188">
        <w:rPr>
          <w:rFonts w:asciiTheme="minorHAnsi" w:hAnsiTheme="minorHAnsi" w:cstheme="minorBidi"/>
          <w:lang w:eastAsia="zh-CN"/>
        </w:rPr>
        <w:t xml:space="preserve">It has been claimed that </w:t>
      </w:r>
      <w:r w:rsidR="00C065FF" w:rsidRPr="006E4188">
        <w:rPr>
          <w:rFonts w:asciiTheme="minorHAnsi" w:hAnsiTheme="minorHAnsi" w:cstheme="minorBidi"/>
          <w:lang w:eastAsia="zh-CN"/>
        </w:rPr>
        <w:t xml:space="preserve">single TB across multiple TTIs can </w:t>
      </w:r>
      <w:r w:rsidR="001E7D90" w:rsidRPr="006E4188">
        <w:rPr>
          <w:rFonts w:asciiTheme="minorHAnsi" w:hAnsiTheme="minorHAnsi" w:cstheme="minorBidi"/>
          <w:lang w:eastAsia="zh-CN"/>
        </w:rPr>
        <w:t xml:space="preserve">reduce overhead since single HARQ-ACK bit is needed for multiple </w:t>
      </w:r>
      <w:r w:rsidR="00864D0D" w:rsidRPr="006E4188">
        <w:rPr>
          <w:rFonts w:asciiTheme="minorHAnsi" w:hAnsiTheme="minorHAnsi" w:cstheme="minorBidi"/>
          <w:lang w:eastAsia="zh-CN"/>
        </w:rPr>
        <w:t xml:space="preserve">TTIs. If so, it means </w:t>
      </w:r>
      <w:r w:rsidR="00644A83" w:rsidRPr="006E4188">
        <w:rPr>
          <w:rFonts w:asciiTheme="minorHAnsi" w:hAnsiTheme="minorHAnsi" w:cstheme="minorBidi"/>
          <w:lang w:eastAsia="zh-CN"/>
        </w:rPr>
        <w:t>if single TTI is highly interfered</w:t>
      </w:r>
      <w:r w:rsidR="00C30FB8" w:rsidRPr="006E4188">
        <w:rPr>
          <w:rFonts w:asciiTheme="minorHAnsi" w:hAnsiTheme="minorHAnsi" w:cstheme="minorBidi"/>
          <w:lang w:eastAsia="zh-CN"/>
        </w:rPr>
        <w:t xml:space="preserve">, </w:t>
      </w:r>
      <w:r w:rsidR="00644A83" w:rsidRPr="006E4188">
        <w:rPr>
          <w:rFonts w:asciiTheme="minorHAnsi" w:hAnsiTheme="minorHAnsi" w:cstheme="minorBidi"/>
          <w:lang w:eastAsia="zh-CN"/>
        </w:rPr>
        <w:t xml:space="preserve">which </w:t>
      </w:r>
      <w:r w:rsidR="00C30FB8" w:rsidRPr="006E4188">
        <w:rPr>
          <w:rFonts w:asciiTheme="minorHAnsi" w:hAnsiTheme="minorHAnsi" w:cstheme="minorBidi"/>
          <w:lang w:eastAsia="zh-CN"/>
        </w:rPr>
        <w:t xml:space="preserve">can be </w:t>
      </w:r>
      <w:r w:rsidR="00644A83" w:rsidRPr="006E4188">
        <w:rPr>
          <w:rFonts w:asciiTheme="minorHAnsi" w:hAnsiTheme="minorHAnsi" w:cstheme="minorBidi"/>
          <w:lang w:eastAsia="zh-CN"/>
        </w:rPr>
        <w:t xml:space="preserve">the case </w:t>
      </w:r>
      <w:r w:rsidR="00DB69BA" w:rsidRPr="006E4188">
        <w:rPr>
          <w:rFonts w:asciiTheme="minorHAnsi" w:hAnsiTheme="minorHAnsi" w:cstheme="minorBidi"/>
          <w:lang w:eastAsia="zh-CN"/>
        </w:rPr>
        <w:t xml:space="preserve">in case of collision at the beginning of the COT, the whole TB </w:t>
      </w:r>
      <w:r w:rsidR="00EE70F5" w:rsidRPr="006E4188">
        <w:rPr>
          <w:rFonts w:asciiTheme="minorHAnsi" w:hAnsiTheme="minorHAnsi" w:cstheme="minorBidi"/>
          <w:lang w:eastAsia="zh-CN"/>
        </w:rPr>
        <w:t>reception will fail</w:t>
      </w:r>
      <w:r w:rsidR="00E235BD" w:rsidRPr="006E4188">
        <w:rPr>
          <w:rFonts w:asciiTheme="minorHAnsi" w:hAnsiTheme="minorHAnsi" w:cstheme="minorBidi"/>
          <w:lang w:eastAsia="zh-CN"/>
        </w:rPr>
        <w:t xml:space="preserve">. This will require retransmission of the whole </w:t>
      </w:r>
      <w:r w:rsidR="00CF1053" w:rsidRPr="006E4188">
        <w:rPr>
          <w:rFonts w:asciiTheme="minorHAnsi" w:hAnsiTheme="minorHAnsi" w:cstheme="minorBidi"/>
          <w:lang w:eastAsia="zh-CN"/>
        </w:rPr>
        <w:t xml:space="preserve">large </w:t>
      </w:r>
      <w:r w:rsidR="00E235BD" w:rsidRPr="006E4188">
        <w:rPr>
          <w:rFonts w:asciiTheme="minorHAnsi" w:hAnsiTheme="minorHAnsi" w:cstheme="minorBidi"/>
          <w:lang w:eastAsia="zh-CN"/>
        </w:rPr>
        <w:t>TB</w:t>
      </w:r>
      <w:r w:rsidR="001C3B10" w:rsidRPr="006E4188">
        <w:rPr>
          <w:rFonts w:asciiTheme="minorHAnsi" w:hAnsiTheme="minorHAnsi" w:cstheme="minorBidi"/>
          <w:lang w:eastAsia="zh-CN"/>
        </w:rPr>
        <w:t xml:space="preserve"> which induce</w:t>
      </w:r>
      <w:r w:rsidR="00CF1053" w:rsidRPr="006E4188">
        <w:rPr>
          <w:rFonts w:asciiTheme="minorHAnsi" w:hAnsiTheme="minorHAnsi" w:cstheme="minorBidi"/>
          <w:lang w:eastAsia="zh-CN"/>
        </w:rPr>
        <w:t>s</w:t>
      </w:r>
      <w:r w:rsidR="001C3B10" w:rsidRPr="006E4188">
        <w:rPr>
          <w:rFonts w:asciiTheme="minorHAnsi" w:hAnsiTheme="minorHAnsi" w:cstheme="minorBidi"/>
          <w:lang w:eastAsia="zh-CN"/>
        </w:rPr>
        <w:t xml:space="preserve"> much more overhead as compared to one TB per TTI.</w:t>
      </w:r>
      <w:r w:rsidR="00643B8A" w:rsidRPr="006E4188">
        <w:rPr>
          <w:rFonts w:asciiTheme="minorHAnsi" w:hAnsiTheme="minorHAnsi" w:cstheme="minorBidi"/>
          <w:lang w:eastAsia="zh-CN"/>
        </w:rPr>
        <w:t xml:space="preserve"> Alternatively, s</w:t>
      </w:r>
      <w:r w:rsidR="00C04E83" w:rsidRPr="006E4188">
        <w:rPr>
          <w:rFonts w:asciiTheme="minorHAnsi" w:hAnsiTheme="minorHAnsi" w:cstheme="minorBidi"/>
          <w:lang w:eastAsia="zh-CN"/>
        </w:rPr>
        <w:t>cheduling o</w:t>
      </w:r>
      <w:r w:rsidR="00AA3649" w:rsidRPr="006E4188">
        <w:rPr>
          <w:rFonts w:asciiTheme="minorHAnsi" w:hAnsiTheme="minorHAnsi" w:cstheme="minorBidi"/>
          <w:lang w:eastAsia="zh-CN"/>
        </w:rPr>
        <w:t>ne TB a</w:t>
      </w:r>
      <w:r w:rsidR="00C04E83" w:rsidRPr="006E4188">
        <w:rPr>
          <w:rFonts w:asciiTheme="minorHAnsi" w:hAnsiTheme="minorHAnsi" w:cstheme="minorBidi"/>
          <w:lang w:eastAsia="zh-CN"/>
        </w:rPr>
        <w:t>cro</w:t>
      </w:r>
      <w:r w:rsidR="00AA3649" w:rsidRPr="006E4188">
        <w:rPr>
          <w:rFonts w:asciiTheme="minorHAnsi" w:hAnsiTheme="minorHAnsi" w:cstheme="minorBidi"/>
          <w:lang w:eastAsia="zh-CN"/>
        </w:rPr>
        <w:t>ss multiple TTI</w:t>
      </w:r>
      <w:r w:rsidR="001C50AA" w:rsidRPr="006E4188">
        <w:rPr>
          <w:rFonts w:asciiTheme="minorHAnsi" w:hAnsiTheme="minorHAnsi" w:cstheme="minorBidi"/>
          <w:lang w:eastAsia="zh-CN"/>
        </w:rPr>
        <w:t xml:space="preserve"> </w:t>
      </w:r>
      <w:r w:rsidR="00643B8A" w:rsidRPr="006E4188">
        <w:rPr>
          <w:rFonts w:asciiTheme="minorHAnsi" w:hAnsiTheme="minorHAnsi" w:cstheme="minorBidi"/>
          <w:lang w:eastAsia="zh-CN"/>
        </w:rPr>
        <w:t>is used together with</w:t>
      </w:r>
      <w:r w:rsidR="00C04E83" w:rsidRPr="006E4188">
        <w:rPr>
          <w:rFonts w:asciiTheme="minorHAnsi" w:hAnsiTheme="minorHAnsi" w:cstheme="minorBidi"/>
          <w:lang w:eastAsia="zh-CN"/>
        </w:rPr>
        <w:t xml:space="preserve"> CBG based HARQ-feedback.</w:t>
      </w:r>
      <w:r w:rsidR="003709C7" w:rsidRPr="006E4188">
        <w:rPr>
          <w:rFonts w:asciiTheme="minorHAnsi" w:hAnsiTheme="minorHAnsi" w:cstheme="minorBidi"/>
          <w:lang w:eastAsia="zh-CN"/>
        </w:rPr>
        <w:t xml:space="preserve"> In the </w:t>
      </w:r>
      <w:proofErr w:type="spellStart"/>
      <w:r w:rsidR="003709C7" w:rsidRPr="006E4188">
        <w:rPr>
          <w:rFonts w:asciiTheme="minorHAnsi" w:hAnsiTheme="minorHAnsi" w:cstheme="minorBidi"/>
          <w:lang w:eastAsia="zh-CN"/>
        </w:rPr>
        <w:t>later</w:t>
      </w:r>
      <w:proofErr w:type="spellEnd"/>
      <w:r w:rsidR="003709C7" w:rsidRPr="006E4188">
        <w:rPr>
          <w:rFonts w:asciiTheme="minorHAnsi" w:hAnsiTheme="minorHAnsi" w:cstheme="minorBidi"/>
          <w:lang w:eastAsia="zh-CN"/>
        </w:rPr>
        <w:t xml:space="preserve"> case, the </w:t>
      </w:r>
      <w:r w:rsidR="00AB2AF0" w:rsidRPr="006E4188">
        <w:rPr>
          <w:rFonts w:asciiTheme="minorHAnsi" w:hAnsiTheme="minorHAnsi" w:cstheme="minorBidi"/>
          <w:lang w:eastAsia="zh-CN"/>
        </w:rPr>
        <w:t xml:space="preserve">overhead savings as compared to single TB across multiple TTIs are not clear. </w:t>
      </w:r>
      <w:r w:rsidR="00C04E83" w:rsidRPr="006E4188">
        <w:rPr>
          <w:rFonts w:asciiTheme="minorHAnsi" w:hAnsiTheme="minorHAnsi" w:cstheme="minorBidi"/>
          <w:lang w:eastAsia="zh-CN"/>
        </w:rPr>
        <w:t xml:space="preserve"> </w:t>
      </w:r>
    </w:p>
    <w:p w14:paraId="3A68C9DD" w14:textId="503E5B24" w:rsidR="002A7A8E" w:rsidRPr="00B30D2B" w:rsidRDefault="00B30D2B" w:rsidP="001A7386">
      <w:pPr>
        <w:pStyle w:val="Proposal"/>
      </w:pPr>
      <w:bookmarkStart w:id="15" w:name="_Toc1133781"/>
      <w:r>
        <w:t>Scheduling one TB across different TTIs is not supported for NR-U</w:t>
      </w:r>
      <w:bookmarkStart w:id="16" w:name="_Hlk520468333"/>
      <w:bookmarkStart w:id="17" w:name="_Hlk520468119"/>
      <w:bookmarkEnd w:id="15"/>
    </w:p>
    <w:bookmarkEnd w:id="16"/>
    <w:bookmarkEnd w:id="17"/>
    <w:p w14:paraId="7298A046" w14:textId="7587659E" w:rsidR="006E1C82" w:rsidRDefault="00C01F33" w:rsidP="00DF6BA7">
      <w:pPr>
        <w:pStyle w:val="Heading1"/>
        <w:ind w:left="0" w:firstLine="0"/>
        <w:rPr>
          <w:b/>
          <w:bCs/>
        </w:rPr>
      </w:pPr>
      <w:r w:rsidRPr="00CE0424">
        <w:lastRenderedPageBreak/>
        <w:t>Conclusion</w:t>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C75848" w14:textId="45C9610A" w:rsidR="00A6138F" w:rsidRDefault="006E1C82">
      <w:pPr>
        <w:pStyle w:val="TableofFigures"/>
        <w:tabs>
          <w:tab w:val="right" w:leader="dot" w:pos="9629"/>
        </w:tabs>
        <w:rPr>
          <w:rFonts w:asciiTheme="minorHAnsi" w:eastAsiaTheme="minorEastAsia" w:hAnsiTheme="minorHAnsi" w:cstheme="minorBidi"/>
          <w:b w:val="0"/>
          <w:noProof/>
          <w:kern w:val="0"/>
          <w:sz w:val="22"/>
        </w:rPr>
      </w:pPr>
      <w:r>
        <w:rPr>
          <w:bCs/>
          <w:lang w:val="en-US"/>
        </w:rPr>
        <w:fldChar w:fldCharType="begin"/>
      </w:r>
      <w:r>
        <w:rPr>
          <w:bCs/>
          <w:lang w:val="en-US"/>
        </w:rPr>
        <w:instrText xml:space="preserve"> TOC \n \h \z \t "Proposal" \c </w:instrText>
      </w:r>
      <w:r>
        <w:rPr>
          <w:bCs/>
          <w:lang w:val="en-US"/>
        </w:rPr>
        <w:fldChar w:fldCharType="separate"/>
      </w:r>
      <w:hyperlink w:anchor="_Toc1133769" w:history="1">
        <w:r w:rsidR="00A6138F" w:rsidRPr="00BD5ED4">
          <w:rPr>
            <w:rStyle w:val="Hyperlink"/>
            <w:noProof/>
            <w:lang w:val="en-US"/>
          </w:rPr>
          <w:t>Proposal 1</w:t>
        </w:r>
        <w:r w:rsidR="00A6138F">
          <w:rPr>
            <w:rFonts w:asciiTheme="minorHAnsi" w:eastAsiaTheme="minorEastAsia" w:hAnsiTheme="minorHAnsi" w:cstheme="minorBidi"/>
            <w:b w:val="0"/>
            <w:noProof/>
            <w:kern w:val="0"/>
            <w:sz w:val="22"/>
          </w:rPr>
          <w:tab/>
        </w:r>
        <w:r w:rsidR="00A6138F" w:rsidRPr="00BD5ED4">
          <w:rPr>
            <w:rStyle w:val="Hyperlink"/>
            <w:noProof/>
            <w:lang w:val="en-US"/>
          </w:rPr>
          <w:t xml:space="preserve">Support UL/DL Scheduling </w:t>
        </w:r>
        <w:r w:rsidR="00A6138F" w:rsidRPr="00BD5ED4">
          <w:rPr>
            <w:rStyle w:val="Hyperlink"/>
            <w:noProof/>
          </w:rPr>
          <w:t>c</w:t>
        </w:r>
        <w:r w:rsidR="00A6138F" w:rsidRPr="00BD5ED4">
          <w:rPr>
            <w:rStyle w:val="Hyperlink"/>
            <w:noProof/>
            <w:lang w:val="en-US"/>
          </w:rPr>
          <w:t>ombinatio</w:t>
        </w:r>
        <w:r w:rsidR="00A6138F" w:rsidRPr="00BD5ED4">
          <w:rPr>
            <w:rStyle w:val="Hyperlink"/>
            <w:noProof/>
          </w:rPr>
          <w:t>n:</w:t>
        </w:r>
      </w:hyperlink>
    </w:p>
    <w:p w14:paraId="1A928B97" w14:textId="663A1DA7" w:rsidR="00A6138F" w:rsidRDefault="0015694D" w:rsidP="007E2931">
      <w:pPr>
        <w:pStyle w:val="TableofFigures"/>
        <w:tabs>
          <w:tab w:val="right" w:leader="dot" w:pos="9629"/>
        </w:tabs>
        <w:ind w:left="1980" w:hanging="270"/>
        <w:rPr>
          <w:rFonts w:asciiTheme="minorHAnsi" w:eastAsiaTheme="minorEastAsia" w:hAnsiTheme="minorHAnsi" w:cstheme="minorBidi"/>
          <w:b w:val="0"/>
          <w:noProof/>
          <w:kern w:val="0"/>
          <w:sz w:val="22"/>
        </w:rPr>
      </w:pPr>
      <w:hyperlink w:anchor="_Toc1133770" w:history="1">
        <w:r w:rsidR="00A6138F" w:rsidRPr="00BD5ED4">
          <w:rPr>
            <w:rStyle w:val="Hyperlink"/>
            <w:rFonts w:ascii="Courier New" w:hAnsi="Courier New" w:cs="Courier New"/>
            <w:noProof/>
            <w:lang w:val="en-US"/>
          </w:rPr>
          <w:t>o</w:t>
        </w:r>
        <w:r w:rsidR="00A6138F">
          <w:rPr>
            <w:rFonts w:asciiTheme="minorHAnsi" w:eastAsiaTheme="minorEastAsia" w:hAnsiTheme="minorHAnsi" w:cstheme="minorBidi"/>
            <w:b w:val="0"/>
            <w:noProof/>
            <w:kern w:val="0"/>
            <w:sz w:val="22"/>
          </w:rPr>
          <w:tab/>
        </w:r>
        <w:r w:rsidR="00A6138F" w:rsidRPr="00BD5ED4">
          <w:rPr>
            <w:rStyle w:val="Hyperlink"/>
            <w:noProof/>
            <w:lang w:val="en-US"/>
          </w:rPr>
          <w:t xml:space="preserve">Self-scheduling </w:t>
        </w:r>
        <w:r w:rsidR="00A6138F" w:rsidRPr="00BD5ED4">
          <w:rPr>
            <w:rStyle w:val="Hyperlink"/>
            <w:noProof/>
          </w:rPr>
          <w:t>for</w:t>
        </w:r>
        <w:r w:rsidR="00A6138F" w:rsidRPr="00BD5ED4">
          <w:rPr>
            <w:rStyle w:val="Hyperlink"/>
            <w:noProof/>
            <w:lang w:val="en-US"/>
          </w:rPr>
          <w:t xml:space="preserve"> DL</w:t>
        </w:r>
      </w:hyperlink>
    </w:p>
    <w:p w14:paraId="0301D3A3" w14:textId="6ACC911B" w:rsidR="00A6138F" w:rsidRDefault="0015694D" w:rsidP="007E2931">
      <w:pPr>
        <w:pStyle w:val="TableofFigures"/>
        <w:tabs>
          <w:tab w:val="right" w:leader="dot" w:pos="9629"/>
        </w:tabs>
        <w:ind w:left="1980" w:hanging="270"/>
        <w:rPr>
          <w:rFonts w:asciiTheme="minorHAnsi" w:eastAsiaTheme="minorEastAsia" w:hAnsiTheme="minorHAnsi" w:cstheme="minorBidi"/>
          <w:b w:val="0"/>
          <w:noProof/>
          <w:kern w:val="0"/>
          <w:sz w:val="22"/>
        </w:rPr>
      </w:pPr>
      <w:hyperlink w:anchor="_Toc1133771" w:history="1">
        <w:r w:rsidR="00A6138F" w:rsidRPr="00BD5ED4">
          <w:rPr>
            <w:rStyle w:val="Hyperlink"/>
            <w:rFonts w:ascii="Courier New" w:hAnsi="Courier New" w:cs="Courier New"/>
            <w:noProof/>
            <w:lang w:val="en-US"/>
          </w:rPr>
          <w:t>o</w:t>
        </w:r>
        <w:r w:rsidR="00A6138F">
          <w:rPr>
            <w:rFonts w:asciiTheme="minorHAnsi" w:eastAsiaTheme="minorEastAsia" w:hAnsiTheme="minorHAnsi" w:cstheme="minorBidi"/>
            <w:b w:val="0"/>
            <w:noProof/>
            <w:kern w:val="0"/>
            <w:sz w:val="22"/>
          </w:rPr>
          <w:tab/>
        </w:r>
        <w:r w:rsidR="00A6138F" w:rsidRPr="00BD5ED4">
          <w:rPr>
            <w:rStyle w:val="Hyperlink"/>
            <w:noProof/>
          </w:rPr>
          <w:t xml:space="preserve">Self- and/or </w:t>
        </w:r>
        <w:r w:rsidR="00A6138F" w:rsidRPr="00BD5ED4">
          <w:rPr>
            <w:rStyle w:val="Hyperlink"/>
            <w:noProof/>
            <w:lang w:val="en-US"/>
          </w:rPr>
          <w:t xml:space="preserve">cross-carrier scheduling </w:t>
        </w:r>
        <w:r w:rsidR="00A6138F" w:rsidRPr="00BD5ED4">
          <w:rPr>
            <w:rStyle w:val="Hyperlink"/>
            <w:noProof/>
          </w:rPr>
          <w:t>for</w:t>
        </w:r>
        <w:r w:rsidR="00A6138F" w:rsidRPr="00BD5ED4">
          <w:rPr>
            <w:rStyle w:val="Hyperlink"/>
            <w:noProof/>
            <w:lang w:val="en-US"/>
          </w:rPr>
          <w:t xml:space="preserve"> UL</w:t>
        </w:r>
      </w:hyperlink>
    </w:p>
    <w:p w14:paraId="7820B508" w14:textId="03EBD0E1" w:rsidR="00A6138F" w:rsidRDefault="0015694D" w:rsidP="007E2931">
      <w:pPr>
        <w:pStyle w:val="TableofFigures"/>
        <w:tabs>
          <w:tab w:val="right" w:leader="dot" w:pos="9629"/>
        </w:tabs>
        <w:ind w:left="2160" w:hanging="180"/>
        <w:rPr>
          <w:rFonts w:asciiTheme="minorHAnsi" w:eastAsiaTheme="minorEastAsia" w:hAnsiTheme="minorHAnsi" w:cstheme="minorBidi"/>
          <w:b w:val="0"/>
          <w:noProof/>
          <w:kern w:val="0"/>
          <w:sz w:val="22"/>
        </w:rPr>
      </w:pPr>
      <w:hyperlink w:anchor="_Toc1133772" w:history="1">
        <w:r w:rsidR="00A6138F" w:rsidRPr="00BD5ED4">
          <w:rPr>
            <w:rStyle w:val="Hyperlink"/>
            <w:rFonts w:ascii="Wingdings" w:hAnsi="Wingdings"/>
            <w:noProof/>
            <w:lang w:val="en-US"/>
          </w:rPr>
          <w:t></w:t>
        </w:r>
        <w:r w:rsidR="00A6138F">
          <w:rPr>
            <w:rFonts w:asciiTheme="minorHAnsi" w:eastAsiaTheme="minorEastAsia" w:hAnsiTheme="minorHAnsi" w:cstheme="minorBidi"/>
            <w:b w:val="0"/>
            <w:noProof/>
            <w:kern w:val="0"/>
            <w:sz w:val="22"/>
          </w:rPr>
          <w:tab/>
        </w:r>
        <w:r w:rsidR="00A6138F" w:rsidRPr="00BD5ED4">
          <w:rPr>
            <w:rStyle w:val="Hyperlink"/>
            <w:noProof/>
          </w:rPr>
          <w:t xml:space="preserve">FFS: </w:t>
        </w:r>
        <w:r w:rsidR="00A6138F" w:rsidRPr="00BD5ED4">
          <w:rPr>
            <w:rStyle w:val="Hyperlink"/>
            <w:noProof/>
            <w:lang w:val="en-US" w:eastAsia="ko-KR"/>
          </w:rPr>
          <w:t>How to manage the number of blind decodes at the UE side</w:t>
        </w:r>
        <w:r w:rsidR="00A6138F" w:rsidRPr="00BD5ED4">
          <w:rPr>
            <w:rStyle w:val="Hyperlink"/>
            <w:noProof/>
            <w:lang w:eastAsia="ko-KR"/>
          </w:rPr>
          <w:t>.</w:t>
        </w:r>
      </w:hyperlink>
    </w:p>
    <w:p w14:paraId="19CDE32E" w14:textId="3B92DE44" w:rsidR="00A6138F" w:rsidRDefault="0015694D">
      <w:pPr>
        <w:pStyle w:val="TableofFigures"/>
        <w:tabs>
          <w:tab w:val="right" w:leader="dot" w:pos="9629"/>
        </w:tabs>
        <w:rPr>
          <w:rFonts w:asciiTheme="minorHAnsi" w:eastAsiaTheme="minorEastAsia" w:hAnsiTheme="minorHAnsi" w:cstheme="minorBidi"/>
          <w:b w:val="0"/>
          <w:noProof/>
          <w:kern w:val="0"/>
          <w:sz w:val="22"/>
        </w:rPr>
      </w:pPr>
      <w:hyperlink w:anchor="_Toc1133773" w:history="1">
        <w:r w:rsidR="00A6138F" w:rsidRPr="00BD5ED4">
          <w:rPr>
            <w:rStyle w:val="Hyperlink"/>
            <w:noProof/>
          </w:rPr>
          <w:t>Proposal 2</w:t>
        </w:r>
        <w:r w:rsidR="00A6138F">
          <w:rPr>
            <w:rFonts w:asciiTheme="minorHAnsi" w:eastAsiaTheme="minorEastAsia" w:hAnsiTheme="minorHAnsi" w:cstheme="minorBidi"/>
            <w:b w:val="0"/>
            <w:noProof/>
            <w:kern w:val="0"/>
            <w:sz w:val="22"/>
          </w:rPr>
          <w:tab/>
        </w:r>
        <w:r w:rsidR="00A6138F" w:rsidRPr="00BD5ED4">
          <w:rPr>
            <w:rStyle w:val="Hyperlink"/>
            <w:noProof/>
          </w:rPr>
          <w:t>Alt2 is not supported for NR-U</w:t>
        </w:r>
      </w:hyperlink>
    </w:p>
    <w:p w14:paraId="0A911C14" w14:textId="32470C49" w:rsidR="00A6138F" w:rsidRDefault="0015694D">
      <w:pPr>
        <w:pStyle w:val="TableofFigures"/>
        <w:tabs>
          <w:tab w:val="right" w:leader="dot" w:pos="9629"/>
        </w:tabs>
        <w:rPr>
          <w:rFonts w:asciiTheme="minorHAnsi" w:eastAsiaTheme="minorEastAsia" w:hAnsiTheme="minorHAnsi" w:cstheme="minorBidi"/>
          <w:b w:val="0"/>
          <w:noProof/>
          <w:kern w:val="0"/>
          <w:sz w:val="22"/>
        </w:rPr>
      </w:pPr>
      <w:hyperlink w:anchor="_Toc1133774" w:history="1">
        <w:r w:rsidR="00A6138F" w:rsidRPr="00BD5ED4">
          <w:rPr>
            <w:rStyle w:val="Hyperlink"/>
            <w:noProof/>
          </w:rPr>
          <w:t>Proposal 3</w:t>
        </w:r>
        <w:r w:rsidR="00A6138F">
          <w:rPr>
            <w:rFonts w:asciiTheme="minorHAnsi" w:eastAsiaTheme="minorEastAsia" w:hAnsiTheme="minorHAnsi" w:cstheme="minorBidi"/>
            <w:b w:val="0"/>
            <w:noProof/>
            <w:kern w:val="0"/>
            <w:sz w:val="22"/>
          </w:rPr>
          <w:tab/>
        </w:r>
        <w:r w:rsidR="00A6138F" w:rsidRPr="00BD5ED4">
          <w:rPr>
            <w:rStyle w:val="Hyperlink"/>
            <w:noProof/>
          </w:rPr>
          <w:t>DCIs for scheduling PDSCH on unlicensed carriers should support larger DAI field as compared to Rel-15 NR DCI for scheduling PDSCH on licensed carrier.</w:t>
        </w:r>
      </w:hyperlink>
    </w:p>
    <w:p w14:paraId="7BEEDFDD" w14:textId="58ADB3A4" w:rsidR="00A6138F" w:rsidRDefault="0015694D">
      <w:pPr>
        <w:pStyle w:val="TableofFigures"/>
        <w:tabs>
          <w:tab w:val="right" w:leader="dot" w:pos="9629"/>
        </w:tabs>
        <w:rPr>
          <w:rFonts w:asciiTheme="minorHAnsi" w:eastAsiaTheme="minorEastAsia" w:hAnsiTheme="minorHAnsi" w:cstheme="minorBidi"/>
          <w:b w:val="0"/>
          <w:noProof/>
          <w:kern w:val="0"/>
          <w:sz w:val="22"/>
        </w:rPr>
      </w:pPr>
      <w:hyperlink w:anchor="_Toc1133775" w:history="1">
        <w:r w:rsidR="00A6138F" w:rsidRPr="00BD5ED4">
          <w:rPr>
            <w:rStyle w:val="Hyperlink"/>
            <w:noProof/>
          </w:rPr>
          <w:t>Proposal 4</w:t>
        </w:r>
        <w:r w:rsidR="00A6138F">
          <w:rPr>
            <w:rFonts w:asciiTheme="minorHAnsi" w:eastAsiaTheme="minorEastAsia" w:hAnsiTheme="minorHAnsi" w:cstheme="minorBidi"/>
            <w:b w:val="0"/>
            <w:noProof/>
            <w:kern w:val="0"/>
            <w:sz w:val="22"/>
          </w:rPr>
          <w:tab/>
        </w:r>
        <w:r w:rsidR="00A6138F" w:rsidRPr="00BD5ED4">
          <w:rPr>
            <w:rStyle w:val="Hyperlink"/>
            <w:noProof/>
          </w:rPr>
          <w:t>No need to support RRC parameter dl-DataToUL-ACK value larger than Rel-15 NR</w:t>
        </w:r>
      </w:hyperlink>
    </w:p>
    <w:p w14:paraId="160F0EC2" w14:textId="7251C8AF" w:rsidR="00A6138F" w:rsidRDefault="0015694D">
      <w:pPr>
        <w:pStyle w:val="TableofFigures"/>
        <w:tabs>
          <w:tab w:val="right" w:leader="dot" w:pos="9629"/>
        </w:tabs>
        <w:rPr>
          <w:rFonts w:asciiTheme="minorHAnsi" w:eastAsiaTheme="minorEastAsia" w:hAnsiTheme="minorHAnsi" w:cstheme="minorBidi"/>
          <w:b w:val="0"/>
          <w:noProof/>
          <w:kern w:val="0"/>
          <w:sz w:val="22"/>
        </w:rPr>
      </w:pPr>
      <w:hyperlink w:anchor="_Toc1133776" w:history="1">
        <w:r w:rsidR="00A6138F" w:rsidRPr="00BD5ED4">
          <w:rPr>
            <w:rStyle w:val="Hyperlink"/>
            <w:noProof/>
          </w:rPr>
          <w:t>Proposal 5</w:t>
        </w:r>
        <w:r w:rsidR="00A6138F">
          <w:rPr>
            <w:rFonts w:asciiTheme="minorHAnsi" w:eastAsiaTheme="minorEastAsia" w:hAnsiTheme="minorHAnsi" w:cstheme="minorBidi"/>
            <w:b w:val="0"/>
            <w:noProof/>
            <w:kern w:val="0"/>
            <w:sz w:val="22"/>
          </w:rPr>
          <w:tab/>
        </w:r>
        <w:r w:rsidR="00A6138F" w:rsidRPr="00BD5ED4">
          <w:rPr>
            <w:rStyle w:val="Hyperlink"/>
            <w:noProof/>
          </w:rPr>
          <w:t>Support the following enhancements for dynamic codebook HARQ:</w:t>
        </w:r>
      </w:hyperlink>
    </w:p>
    <w:p w14:paraId="5AB5EA7D" w14:textId="24CA0C1C" w:rsidR="00A6138F" w:rsidRDefault="0015694D" w:rsidP="007E2931">
      <w:pPr>
        <w:pStyle w:val="TableofFigures"/>
        <w:tabs>
          <w:tab w:val="right" w:leader="dot" w:pos="9629"/>
        </w:tabs>
        <w:ind w:left="1980" w:hanging="270"/>
        <w:rPr>
          <w:rFonts w:asciiTheme="minorHAnsi" w:eastAsiaTheme="minorEastAsia" w:hAnsiTheme="minorHAnsi" w:cstheme="minorBidi"/>
          <w:b w:val="0"/>
          <w:noProof/>
          <w:kern w:val="0"/>
          <w:sz w:val="22"/>
        </w:rPr>
      </w:pPr>
      <w:hyperlink w:anchor="_Toc1133777" w:history="1">
        <w:r w:rsidR="00A6138F" w:rsidRPr="00BD5ED4">
          <w:rPr>
            <w:rStyle w:val="Hyperlink"/>
            <w:noProof/>
          </w:rPr>
          <w:t>a.</w:t>
        </w:r>
        <w:r w:rsidR="00A6138F">
          <w:rPr>
            <w:rFonts w:asciiTheme="minorHAnsi" w:eastAsiaTheme="minorEastAsia" w:hAnsiTheme="minorHAnsi" w:cstheme="minorBidi"/>
            <w:b w:val="0"/>
            <w:noProof/>
            <w:kern w:val="0"/>
            <w:sz w:val="22"/>
          </w:rPr>
          <w:tab/>
        </w:r>
        <w:r w:rsidR="00A6138F" w:rsidRPr="00BD5ED4">
          <w:rPr>
            <w:rStyle w:val="Hyperlink"/>
            <w:noProof/>
          </w:rPr>
          <w:t>If the gNB failed to receive the scheduled feedback, the gNB adds on the pending feedback of unacknowledged HARQ processes to the ongoing DAI value.</w:t>
        </w:r>
      </w:hyperlink>
    </w:p>
    <w:p w14:paraId="0FF1983A" w14:textId="768C4F08" w:rsidR="00A6138F" w:rsidRDefault="0015694D" w:rsidP="007E2931">
      <w:pPr>
        <w:pStyle w:val="TableofFigures"/>
        <w:tabs>
          <w:tab w:val="right" w:leader="dot" w:pos="9629"/>
        </w:tabs>
        <w:ind w:left="1980" w:hanging="270"/>
        <w:rPr>
          <w:rFonts w:asciiTheme="minorHAnsi" w:eastAsiaTheme="minorEastAsia" w:hAnsiTheme="minorHAnsi" w:cstheme="minorBidi"/>
          <w:b w:val="0"/>
          <w:noProof/>
          <w:kern w:val="0"/>
          <w:sz w:val="22"/>
        </w:rPr>
      </w:pPr>
      <w:hyperlink w:anchor="_Toc1133778" w:history="1">
        <w:r w:rsidR="00A6138F" w:rsidRPr="00BD5ED4">
          <w:rPr>
            <w:rStyle w:val="Hyperlink"/>
            <w:noProof/>
          </w:rPr>
          <w:t>b.</w:t>
        </w:r>
        <w:r w:rsidR="00A6138F">
          <w:rPr>
            <w:rFonts w:asciiTheme="minorHAnsi" w:eastAsiaTheme="minorEastAsia" w:hAnsiTheme="minorHAnsi" w:cstheme="minorBidi"/>
            <w:b w:val="0"/>
            <w:noProof/>
            <w:kern w:val="0"/>
            <w:sz w:val="22"/>
          </w:rPr>
          <w:tab/>
        </w:r>
        <w:r w:rsidR="00A6138F" w:rsidRPr="00BD5ED4">
          <w:rPr>
            <w:rStyle w:val="Hyperlink"/>
            <w:noProof/>
          </w:rPr>
          <w:t>Introduce a toggle bit (NFI) in a DCI to indicate whether the expected HARQ-ACK feedback(s) from the UE was correctly received by the gNB or not.</w:t>
        </w:r>
      </w:hyperlink>
    </w:p>
    <w:p w14:paraId="4269A23E" w14:textId="232975E0" w:rsidR="00A6138F" w:rsidRDefault="0015694D" w:rsidP="007E2931">
      <w:pPr>
        <w:pStyle w:val="TableofFigures"/>
        <w:tabs>
          <w:tab w:val="right" w:leader="dot" w:pos="9629"/>
        </w:tabs>
        <w:ind w:left="2250" w:hanging="270"/>
        <w:rPr>
          <w:rFonts w:asciiTheme="minorHAnsi" w:eastAsiaTheme="minorEastAsia" w:hAnsiTheme="minorHAnsi" w:cstheme="minorBidi"/>
          <w:b w:val="0"/>
          <w:noProof/>
          <w:kern w:val="0"/>
          <w:sz w:val="22"/>
        </w:rPr>
      </w:pPr>
      <w:hyperlink w:anchor="_Toc1133779" w:history="1">
        <w:r w:rsidR="00A6138F" w:rsidRPr="00BD5ED4">
          <w:rPr>
            <w:rStyle w:val="Hyperlink"/>
            <w:noProof/>
          </w:rPr>
          <w:t>i.</w:t>
        </w:r>
        <w:r w:rsidR="00A6138F">
          <w:rPr>
            <w:rFonts w:asciiTheme="minorHAnsi" w:eastAsiaTheme="minorEastAsia" w:hAnsiTheme="minorHAnsi" w:cstheme="minorBidi"/>
            <w:b w:val="0"/>
            <w:noProof/>
            <w:kern w:val="0"/>
            <w:sz w:val="22"/>
          </w:rPr>
          <w:tab/>
        </w:r>
        <w:r w:rsidR="00A6138F" w:rsidRPr="00BD5ED4">
          <w:rPr>
            <w:rStyle w:val="Hyperlink"/>
            <w:noProof/>
            <w:spacing w:val="2"/>
            <w:lang w:val="en-US" w:eastAsia="en-US"/>
          </w:rPr>
          <w:t>Not toggle: the HARQ-ACK occasion(s) since the bit was last toggled was not received. The UE will automatically include the none received HARQ-ACK bits in the next reporting occasion</w:t>
        </w:r>
      </w:hyperlink>
    </w:p>
    <w:p w14:paraId="6981EEB3" w14:textId="5B35CB8A" w:rsidR="00A6138F" w:rsidRDefault="0015694D" w:rsidP="007E2931">
      <w:pPr>
        <w:pStyle w:val="TableofFigures"/>
        <w:tabs>
          <w:tab w:val="right" w:leader="dot" w:pos="9629"/>
        </w:tabs>
        <w:ind w:left="2250" w:hanging="270"/>
        <w:rPr>
          <w:rFonts w:asciiTheme="minorHAnsi" w:eastAsiaTheme="minorEastAsia" w:hAnsiTheme="minorHAnsi" w:cstheme="minorBidi"/>
          <w:b w:val="0"/>
          <w:noProof/>
          <w:kern w:val="0"/>
          <w:sz w:val="22"/>
        </w:rPr>
      </w:pPr>
      <w:hyperlink w:anchor="_Toc1133780" w:history="1">
        <w:r w:rsidR="00A6138F" w:rsidRPr="00BD5ED4">
          <w:rPr>
            <w:rStyle w:val="Hyperlink"/>
            <w:noProof/>
          </w:rPr>
          <w:t>ii.</w:t>
        </w:r>
        <w:r w:rsidR="00A6138F">
          <w:rPr>
            <w:rFonts w:asciiTheme="minorHAnsi" w:eastAsiaTheme="minorEastAsia" w:hAnsiTheme="minorHAnsi" w:cstheme="minorBidi"/>
            <w:b w:val="0"/>
            <w:noProof/>
            <w:kern w:val="0"/>
            <w:sz w:val="22"/>
          </w:rPr>
          <w:tab/>
        </w:r>
        <w:r w:rsidR="00A6138F" w:rsidRPr="00BD5ED4">
          <w:rPr>
            <w:rStyle w:val="Hyperlink"/>
            <w:noProof/>
            <w:spacing w:val="2"/>
            <w:lang w:val="en-US" w:eastAsia="en-US"/>
          </w:rPr>
          <w:t>Toggled: the HARQ-ACK occasion(s) since the bit was last toggled was received by the gNB</w:t>
        </w:r>
      </w:hyperlink>
    </w:p>
    <w:p w14:paraId="38AF427D" w14:textId="39D60C82" w:rsidR="00A6138F" w:rsidRDefault="0015694D">
      <w:pPr>
        <w:pStyle w:val="TableofFigures"/>
        <w:tabs>
          <w:tab w:val="right" w:leader="dot" w:pos="9629"/>
        </w:tabs>
        <w:rPr>
          <w:rFonts w:asciiTheme="minorHAnsi" w:eastAsiaTheme="minorEastAsia" w:hAnsiTheme="minorHAnsi" w:cstheme="minorBidi"/>
          <w:b w:val="0"/>
          <w:noProof/>
          <w:kern w:val="0"/>
          <w:sz w:val="22"/>
        </w:rPr>
      </w:pPr>
      <w:hyperlink w:anchor="_Toc1133781" w:history="1">
        <w:r w:rsidR="00A6138F" w:rsidRPr="00BD5ED4">
          <w:rPr>
            <w:rStyle w:val="Hyperlink"/>
            <w:noProof/>
          </w:rPr>
          <w:t>Proposal 6</w:t>
        </w:r>
        <w:r w:rsidR="00A6138F">
          <w:rPr>
            <w:rFonts w:asciiTheme="minorHAnsi" w:eastAsiaTheme="minorEastAsia" w:hAnsiTheme="minorHAnsi" w:cstheme="minorBidi"/>
            <w:b w:val="0"/>
            <w:noProof/>
            <w:kern w:val="0"/>
            <w:sz w:val="22"/>
          </w:rPr>
          <w:tab/>
        </w:r>
        <w:r w:rsidR="00A6138F" w:rsidRPr="00BD5ED4">
          <w:rPr>
            <w:rStyle w:val="Hyperlink"/>
            <w:noProof/>
          </w:rPr>
          <w:t>Scheduling one TB across different TTIs is not supported for NR-U</w:t>
        </w:r>
      </w:hyperlink>
    </w:p>
    <w:p w14:paraId="29E5F4E6" w14:textId="22EE0876" w:rsidR="00C01F33" w:rsidRPr="006D7B1E" w:rsidRDefault="006E1C82" w:rsidP="006D7B1E">
      <w:pPr>
        <w:pStyle w:val="BodyText"/>
        <w:rPr>
          <w:b/>
          <w:bCs/>
        </w:rPr>
      </w:pPr>
      <w:r>
        <w:rPr>
          <w:b/>
          <w:bCs/>
          <w:lang w:val="en-US"/>
        </w:rPr>
        <w:fldChar w:fldCharType="end"/>
      </w:r>
    </w:p>
    <w:p w14:paraId="75F0F757" w14:textId="77777777" w:rsidR="00F507D1" w:rsidRPr="00CE0424" w:rsidRDefault="00F507D1" w:rsidP="00CE0424">
      <w:pPr>
        <w:pStyle w:val="Heading1"/>
      </w:pPr>
      <w:bookmarkStart w:id="18" w:name="_In-sequence_SDU_delivery"/>
      <w:bookmarkEnd w:id="18"/>
      <w:r w:rsidRPr="00CE0424">
        <w:t>References</w:t>
      </w:r>
    </w:p>
    <w:p w14:paraId="15A31830" w14:textId="6425350A" w:rsidR="00DF6BA7" w:rsidRDefault="00DF6BA7" w:rsidP="00DF6BA7">
      <w:pPr>
        <w:pStyle w:val="Reference"/>
        <w:overflowPunct/>
        <w:autoSpaceDE/>
        <w:autoSpaceDN/>
        <w:adjustRightInd/>
        <w:spacing w:line="259" w:lineRule="auto"/>
      </w:pPr>
      <w:bookmarkStart w:id="19" w:name="_Ref534117348"/>
      <w:r>
        <w:t>3GPP TR 38.889, “</w:t>
      </w:r>
      <w:r w:rsidRPr="004449F0">
        <w:t>Study on NR-based access to unlicensed spectrum</w:t>
      </w:r>
      <w:r>
        <w:t>,” v16.0.0, December 2018.</w:t>
      </w:r>
      <w:bookmarkEnd w:id="19"/>
    </w:p>
    <w:p w14:paraId="02709D2C" w14:textId="206607AD" w:rsidR="00724D29" w:rsidRDefault="00E95A9B" w:rsidP="00E95A9B">
      <w:pPr>
        <w:pStyle w:val="Reference"/>
        <w:overflowPunct/>
        <w:autoSpaceDE/>
        <w:autoSpaceDN/>
        <w:adjustRightInd/>
        <w:spacing w:line="259" w:lineRule="auto"/>
      </w:pPr>
      <w:r w:rsidRPr="00E95A9B">
        <w:t>RAN1 Chairman’s Notes, RAN1# AH 1901, January 2019</w:t>
      </w:r>
    </w:p>
    <w:p w14:paraId="04881438" w14:textId="77777777" w:rsidR="00C11DA7" w:rsidRPr="00CE0424" w:rsidRDefault="00C11DA7" w:rsidP="00C11DA7">
      <w:pPr>
        <w:pStyle w:val="Reference"/>
        <w:numPr>
          <w:ilvl w:val="0"/>
          <w:numId w:val="0"/>
        </w:numPr>
        <w:rPr>
          <w:lang w:eastAsia="ja-JP"/>
        </w:rPr>
      </w:pPr>
    </w:p>
    <w:sectPr w:rsidR="00C11DA7"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DD65B" w14:textId="77777777" w:rsidR="00C142DF" w:rsidRDefault="00C142DF">
      <w:r>
        <w:separator/>
      </w:r>
    </w:p>
  </w:endnote>
  <w:endnote w:type="continuationSeparator" w:id="0">
    <w:p w14:paraId="5C2382A7" w14:textId="77777777" w:rsidR="00C142DF" w:rsidRDefault="00C142DF">
      <w:r>
        <w:continuationSeparator/>
      </w:r>
    </w:p>
  </w:endnote>
  <w:endnote w:type="continuationNotice" w:id="1">
    <w:p w14:paraId="2750989F" w14:textId="77777777" w:rsidR="00C142DF" w:rsidRDefault="00C14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1252F4C6" w:rsidR="00956866" w:rsidRDefault="0095686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361A9" w14:textId="77777777" w:rsidR="00C142DF" w:rsidRDefault="00C142DF">
      <w:r>
        <w:separator/>
      </w:r>
    </w:p>
  </w:footnote>
  <w:footnote w:type="continuationSeparator" w:id="0">
    <w:p w14:paraId="72948B76" w14:textId="77777777" w:rsidR="00C142DF" w:rsidRDefault="00C142DF">
      <w:r>
        <w:continuationSeparator/>
      </w:r>
    </w:p>
  </w:footnote>
  <w:footnote w:type="continuationNotice" w:id="1">
    <w:p w14:paraId="57053604" w14:textId="77777777" w:rsidR="00C142DF" w:rsidRDefault="00C14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956866" w:rsidRDefault="009568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584B66"/>
    <w:multiLevelType w:val="hybridMultilevel"/>
    <w:tmpl w:val="765E8C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942533"/>
    <w:multiLevelType w:val="hybridMultilevel"/>
    <w:tmpl w:val="B100F1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5C1294CE"/>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9E1EA8"/>
    <w:multiLevelType w:val="multilevel"/>
    <w:tmpl w:val="5CB2B6A6"/>
    <w:lvl w:ilvl="0">
      <w:start w:val="1"/>
      <w:numFmt w:val="decimal"/>
      <w:lvlText w:val="%1"/>
      <w:lvlJc w:val="left"/>
      <w:pPr>
        <w:ind w:left="1140" w:hanging="1140"/>
      </w:pPr>
      <w:rPr>
        <w:rFonts w:hint="default"/>
      </w:rPr>
    </w:lvl>
    <w:lvl w:ilvl="1">
      <w:start w:val="2"/>
      <w:numFmt w:val="decimal"/>
      <w:isLgl/>
      <w:lvlText w:val="%1.%2"/>
      <w:lvlJc w:val="left"/>
      <w:pPr>
        <w:ind w:left="1220" w:hanging="1220"/>
      </w:pPr>
      <w:rPr>
        <w:rFonts w:hint="default"/>
      </w:rPr>
    </w:lvl>
    <w:lvl w:ilvl="2">
      <w:start w:val="1"/>
      <w:numFmt w:val="decimal"/>
      <w:isLgl/>
      <w:lvlText w:val="%1.%2.%3"/>
      <w:lvlJc w:val="left"/>
      <w:pPr>
        <w:ind w:left="1220" w:hanging="1220"/>
      </w:pPr>
      <w:rPr>
        <w:rFonts w:hint="default"/>
      </w:rPr>
    </w:lvl>
    <w:lvl w:ilvl="3">
      <w:start w:val="1"/>
      <w:numFmt w:val="decimal"/>
      <w:isLgl/>
      <w:lvlText w:val="%1.%2.%3.%4"/>
      <w:lvlJc w:val="left"/>
      <w:pPr>
        <w:ind w:left="1220" w:hanging="1220"/>
      </w:pPr>
      <w:rPr>
        <w:rFonts w:hint="default"/>
      </w:rPr>
    </w:lvl>
    <w:lvl w:ilvl="4">
      <w:start w:val="1"/>
      <w:numFmt w:val="decimal"/>
      <w:isLgl/>
      <w:lvlText w:val="%1.%2.%3.%4.%5"/>
      <w:lvlJc w:val="left"/>
      <w:pPr>
        <w:ind w:left="1220" w:hanging="1220"/>
      </w:pPr>
      <w:rPr>
        <w:rFonts w:hint="default"/>
      </w:rPr>
    </w:lvl>
    <w:lvl w:ilvl="5">
      <w:start w:val="1"/>
      <w:numFmt w:val="decimal"/>
      <w:isLgl/>
      <w:lvlText w:val="%1.%2.%3.%4.%5.%6"/>
      <w:lvlJc w:val="left"/>
      <w:pPr>
        <w:ind w:left="1220" w:hanging="1220"/>
      </w:pPr>
      <w:rPr>
        <w:rFonts w:hint="default"/>
      </w:rPr>
    </w:lvl>
    <w:lvl w:ilvl="6">
      <w:start w:val="1"/>
      <w:numFmt w:val="decimal"/>
      <w:isLgl/>
      <w:lvlText w:val="%1.%2.%3.%4.%5.%6.%7"/>
      <w:lvlJc w:val="left"/>
      <w:pPr>
        <w:ind w:left="1220" w:hanging="122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30134D7"/>
    <w:multiLevelType w:val="hybridMultilevel"/>
    <w:tmpl w:val="9C0C0600"/>
    <w:lvl w:ilvl="0" w:tplc="8416E874">
      <w:start w:val="1"/>
      <w:numFmt w:val="bullet"/>
      <w:lvlText w:val="•"/>
      <w:lvlJc w:val="left"/>
      <w:pPr>
        <w:tabs>
          <w:tab w:val="num" w:pos="720"/>
        </w:tabs>
        <w:ind w:left="720" w:hanging="360"/>
      </w:pPr>
      <w:rPr>
        <w:rFonts w:ascii="Arial" w:hAnsi="Arial" w:hint="default"/>
      </w:rPr>
    </w:lvl>
    <w:lvl w:ilvl="1" w:tplc="4528673E">
      <w:start w:val="59"/>
      <w:numFmt w:val="bullet"/>
      <w:lvlText w:val="–"/>
      <w:lvlJc w:val="left"/>
      <w:pPr>
        <w:tabs>
          <w:tab w:val="num" w:pos="1440"/>
        </w:tabs>
        <w:ind w:left="1440" w:hanging="360"/>
      </w:pPr>
      <w:rPr>
        <w:rFonts w:ascii="Arial" w:hAnsi="Arial" w:hint="default"/>
      </w:rPr>
    </w:lvl>
    <w:lvl w:ilvl="2" w:tplc="3C32ABE0">
      <w:start w:val="59"/>
      <w:numFmt w:val="bullet"/>
      <w:lvlText w:val="•"/>
      <w:lvlJc w:val="left"/>
      <w:pPr>
        <w:tabs>
          <w:tab w:val="num" w:pos="2160"/>
        </w:tabs>
        <w:ind w:left="2160" w:hanging="360"/>
      </w:pPr>
      <w:rPr>
        <w:rFonts w:ascii="Arial" w:hAnsi="Arial" w:hint="default"/>
      </w:rPr>
    </w:lvl>
    <w:lvl w:ilvl="3" w:tplc="3856BF3E">
      <w:start w:val="59"/>
      <w:numFmt w:val="bullet"/>
      <w:lvlText w:val="–"/>
      <w:lvlJc w:val="left"/>
      <w:pPr>
        <w:tabs>
          <w:tab w:val="num" w:pos="2880"/>
        </w:tabs>
        <w:ind w:left="2880" w:hanging="360"/>
      </w:pPr>
      <w:rPr>
        <w:rFonts w:ascii="Arial" w:hAnsi="Arial" w:hint="default"/>
      </w:rPr>
    </w:lvl>
    <w:lvl w:ilvl="4" w:tplc="4404D3BA" w:tentative="1">
      <w:start w:val="1"/>
      <w:numFmt w:val="bullet"/>
      <w:lvlText w:val="•"/>
      <w:lvlJc w:val="left"/>
      <w:pPr>
        <w:tabs>
          <w:tab w:val="num" w:pos="3600"/>
        </w:tabs>
        <w:ind w:left="3600" w:hanging="360"/>
      </w:pPr>
      <w:rPr>
        <w:rFonts w:ascii="Arial" w:hAnsi="Arial" w:hint="default"/>
      </w:rPr>
    </w:lvl>
    <w:lvl w:ilvl="5" w:tplc="37BA5812" w:tentative="1">
      <w:start w:val="1"/>
      <w:numFmt w:val="bullet"/>
      <w:lvlText w:val="•"/>
      <w:lvlJc w:val="left"/>
      <w:pPr>
        <w:tabs>
          <w:tab w:val="num" w:pos="4320"/>
        </w:tabs>
        <w:ind w:left="4320" w:hanging="360"/>
      </w:pPr>
      <w:rPr>
        <w:rFonts w:ascii="Arial" w:hAnsi="Arial" w:hint="default"/>
      </w:rPr>
    </w:lvl>
    <w:lvl w:ilvl="6" w:tplc="189A2714" w:tentative="1">
      <w:start w:val="1"/>
      <w:numFmt w:val="bullet"/>
      <w:lvlText w:val="•"/>
      <w:lvlJc w:val="left"/>
      <w:pPr>
        <w:tabs>
          <w:tab w:val="num" w:pos="5040"/>
        </w:tabs>
        <w:ind w:left="5040" w:hanging="360"/>
      </w:pPr>
      <w:rPr>
        <w:rFonts w:ascii="Arial" w:hAnsi="Arial" w:hint="default"/>
      </w:rPr>
    </w:lvl>
    <w:lvl w:ilvl="7" w:tplc="B4C6A5A2" w:tentative="1">
      <w:start w:val="1"/>
      <w:numFmt w:val="bullet"/>
      <w:lvlText w:val="•"/>
      <w:lvlJc w:val="left"/>
      <w:pPr>
        <w:tabs>
          <w:tab w:val="num" w:pos="5760"/>
        </w:tabs>
        <w:ind w:left="5760" w:hanging="360"/>
      </w:pPr>
      <w:rPr>
        <w:rFonts w:ascii="Arial" w:hAnsi="Arial" w:hint="default"/>
      </w:rPr>
    </w:lvl>
    <w:lvl w:ilvl="8" w:tplc="C8C48F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130FFB"/>
    <w:multiLevelType w:val="hybridMultilevel"/>
    <w:tmpl w:val="9AC02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A4D6392"/>
    <w:multiLevelType w:val="hybridMultilevel"/>
    <w:tmpl w:val="086098FE"/>
    <w:lvl w:ilvl="0" w:tplc="2552122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3A6F40"/>
    <w:multiLevelType w:val="hybridMultilevel"/>
    <w:tmpl w:val="64F0B3B2"/>
    <w:lvl w:ilvl="0" w:tplc="47502D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6A57196"/>
    <w:multiLevelType w:val="hybridMultilevel"/>
    <w:tmpl w:val="C7604F10"/>
    <w:lvl w:ilvl="0" w:tplc="47502D1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15"/>
  </w:num>
  <w:num w:numId="5">
    <w:abstractNumId w:val="16"/>
  </w:num>
  <w:num w:numId="6">
    <w:abstractNumId w:val="17"/>
  </w:num>
  <w:num w:numId="7">
    <w:abstractNumId w:val="4"/>
  </w:num>
  <w:num w:numId="8">
    <w:abstractNumId w:val="5"/>
  </w:num>
  <w:num w:numId="9">
    <w:abstractNumId w:val="1"/>
  </w:num>
  <w:num w:numId="10">
    <w:abstractNumId w:val="21"/>
  </w:num>
  <w:num w:numId="11">
    <w:abstractNumId w:val="9"/>
  </w:num>
  <w:num w:numId="12">
    <w:abstractNumId w:val="20"/>
  </w:num>
  <w:num w:numId="13">
    <w:abstractNumId w:val="19"/>
  </w:num>
  <w:num w:numId="14">
    <w:abstractNumId w:val="11"/>
  </w:num>
  <w:num w:numId="15">
    <w:abstractNumId w:val="18"/>
  </w:num>
  <w:num w:numId="16">
    <w:abstractNumId w:val="2"/>
  </w:num>
  <w:num w:numId="17">
    <w:abstractNumId w:val="22"/>
  </w:num>
  <w:num w:numId="18">
    <w:abstractNumId w:val="10"/>
  </w:num>
  <w:num w:numId="19">
    <w:abstractNumId w:val="10"/>
  </w:num>
  <w:num w:numId="20">
    <w:abstractNumId w:val="8"/>
  </w:num>
  <w:num w:numId="21">
    <w:abstractNumId w:val="12"/>
  </w:num>
  <w:num w:numId="22">
    <w:abstractNumId w:val="13"/>
  </w:num>
  <w:num w:numId="23">
    <w:abstractNumId w:val="7"/>
  </w:num>
  <w:num w:numId="24">
    <w:abstractNumId w:val="3"/>
  </w:num>
  <w:num w:numId="25">
    <w:abstractNumId w:val="6"/>
  </w:num>
  <w:num w:numId="26">
    <w:abstractNumId w:val="3"/>
  </w:num>
  <w:num w:numId="27">
    <w:abstractNumId w:val="10"/>
  </w:num>
  <w:num w:numId="2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0706"/>
    <w:rsid w:val="00002005"/>
    <w:rsid w:val="00002A37"/>
    <w:rsid w:val="00005495"/>
    <w:rsid w:val="0000564C"/>
    <w:rsid w:val="00006446"/>
    <w:rsid w:val="00006896"/>
    <w:rsid w:val="00007CDC"/>
    <w:rsid w:val="000101DB"/>
    <w:rsid w:val="00011B28"/>
    <w:rsid w:val="00014FF3"/>
    <w:rsid w:val="00015D15"/>
    <w:rsid w:val="0002329D"/>
    <w:rsid w:val="00024418"/>
    <w:rsid w:val="0002564D"/>
    <w:rsid w:val="00025ECA"/>
    <w:rsid w:val="000325B8"/>
    <w:rsid w:val="00034C15"/>
    <w:rsid w:val="00036BA1"/>
    <w:rsid w:val="00041571"/>
    <w:rsid w:val="000422E2"/>
    <w:rsid w:val="00042F22"/>
    <w:rsid w:val="000444EF"/>
    <w:rsid w:val="00052A07"/>
    <w:rsid w:val="000534E3"/>
    <w:rsid w:val="0005606A"/>
    <w:rsid w:val="00057117"/>
    <w:rsid w:val="000574BA"/>
    <w:rsid w:val="00060D9F"/>
    <w:rsid w:val="000616E7"/>
    <w:rsid w:val="00063A58"/>
    <w:rsid w:val="0006487E"/>
    <w:rsid w:val="00065E1A"/>
    <w:rsid w:val="000730F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DEC"/>
    <w:rsid w:val="000B2719"/>
    <w:rsid w:val="000B3A8F"/>
    <w:rsid w:val="000B4AB9"/>
    <w:rsid w:val="000B58C3"/>
    <w:rsid w:val="000B61E9"/>
    <w:rsid w:val="000B73BD"/>
    <w:rsid w:val="000B7F2E"/>
    <w:rsid w:val="000C0D60"/>
    <w:rsid w:val="000C165A"/>
    <w:rsid w:val="000C2E19"/>
    <w:rsid w:val="000C7F90"/>
    <w:rsid w:val="000D0D07"/>
    <w:rsid w:val="000D4797"/>
    <w:rsid w:val="000D639C"/>
    <w:rsid w:val="000D6D6A"/>
    <w:rsid w:val="000E0127"/>
    <w:rsid w:val="000E0527"/>
    <w:rsid w:val="000E139A"/>
    <w:rsid w:val="000E1E92"/>
    <w:rsid w:val="000E5535"/>
    <w:rsid w:val="000F06D6"/>
    <w:rsid w:val="000F0EB1"/>
    <w:rsid w:val="000F1106"/>
    <w:rsid w:val="000F3BE9"/>
    <w:rsid w:val="000F3F6C"/>
    <w:rsid w:val="000F6DF3"/>
    <w:rsid w:val="000F7539"/>
    <w:rsid w:val="001005FF"/>
    <w:rsid w:val="00105E0F"/>
    <w:rsid w:val="001062FB"/>
    <w:rsid w:val="001063E6"/>
    <w:rsid w:val="001101B4"/>
    <w:rsid w:val="00113CF4"/>
    <w:rsid w:val="001153EA"/>
    <w:rsid w:val="00115643"/>
    <w:rsid w:val="00115913"/>
    <w:rsid w:val="00116765"/>
    <w:rsid w:val="00117344"/>
    <w:rsid w:val="001219F5"/>
    <w:rsid w:val="00121A20"/>
    <w:rsid w:val="001231CF"/>
    <w:rsid w:val="0012377F"/>
    <w:rsid w:val="00124314"/>
    <w:rsid w:val="00126B4A"/>
    <w:rsid w:val="00132FD0"/>
    <w:rsid w:val="001344C0"/>
    <w:rsid w:val="001346FA"/>
    <w:rsid w:val="00135252"/>
    <w:rsid w:val="001360E1"/>
    <w:rsid w:val="00137AB5"/>
    <w:rsid w:val="00137F0B"/>
    <w:rsid w:val="001465E9"/>
    <w:rsid w:val="00151E23"/>
    <w:rsid w:val="001526E0"/>
    <w:rsid w:val="001551B5"/>
    <w:rsid w:val="00155D6A"/>
    <w:rsid w:val="0015694D"/>
    <w:rsid w:val="00163868"/>
    <w:rsid w:val="001659C1"/>
    <w:rsid w:val="00166023"/>
    <w:rsid w:val="00173A8E"/>
    <w:rsid w:val="0017502C"/>
    <w:rsid w:val="00177189"/>
    <w:rsid w:val="0018143F"/>
    <w:rsid w:val="00181FF8"/>
    <w:rsid w:val="00190AC1"/>
    <w:rsid w:val="00191D77"/>
    <w:rsid w:val="0019341A"/>
    <w:rsid w:val="0019625E"/>
    <w:rsid w:val="00197DF9"/>
    <w:rsid w:val="001A1987"/>
    <w:rsid w:val="001A2564"/>
    <w:rsid w:val="001A400F"/>
    <w:rsid w:val="001A422D"/>
    <w:rsid w:val="001A6173"/>
    <w:rsid w:val="001A6CBA"/>
    <w:rsid w:val="001A7386"/>
    <w:rsid w:val="001B0D97"/>
    <w:rsid w:val="001B5A5D"/>
    <w:rsid w:val="001B5CB3"/>
    <w:rsid w:val="001B67B8"/>
    <w:rsid w:val="001C1CE5"/>
    <w:rsid w:val="001C3B10"/>
    <w:rsid w:val="001C3D2A"/>
    <w:rsid w:val="001C50AA"/>
    <w:rsid w:val="001C50CC"/>
    <w:rsid w:val="001C591E"/>
    <w:rsid w:val="001C6089"/>
    <w:rsid w:val="001C6809"/>
    <w:rsid w:val="001D33FD"/>
    <w:rsid w:val="001D51BA"/>
    <w:rsid w:val="001D53E7"/>
    <w:rsid w:val="001D6342"/>
    <w:rsid w:val="001D6D53"/>
    <w:rsid w:val="001E58E2"/>
    <w:rsid w:val="001E7AED"/>
    <w:rsid w:val="001E7D90"/>
    <w:rsid w:val="001F3916"/>
    <w:rsid w:val="001F54C5"/>
    <w:rsid w:val="001F662C"/>
    <w:rsid w:val="001F7074"/>
    <w:rsid w:val="00200490"/>
    <w:rsid w:val="00201F3A"/>
    <w:rsid w:val="00203F96"/>
    <w:rsid w:val="00206980"/>
    <w:rsid w:val="002069B2"/>
    <w:rsid w:val="00207FA3"/>
    <w:rsid w:val="00214DA8"/>
    <w:rsid w:val="00215423"/>
    <w:rsid w:val="002158FA"/>
    <w:rsid w:val="00220600"/>
    <w:rsid w:val="002224DB"/>
    <w:rsid w:val="00223D99"/>
    <w:rsid w:val="00223FCB"/>
    <w:rsid w:val="002252C3"/>
    <w:rsid w:val="00225C54"/>
    <w:rsid w:val="00230765"/>
    <w:rsid w:val="00230D18"/>
    <w:rsid w:val="00230EF5"/>
    <w:rsid w:val="002319E4"/>
    <w:rsid w:val="00235632"/>
    <w:rsid w:val="00235872"/>
    <w:rsid w:val="00235F3D"/>
    <w:rsid w:val="00241559"/>
    <w:rsid w:val="0024226A"/>
    <w:rsid w:val="002435B3"/>
    <w:rsid w:val="002458EB"/>
    <w:rsid w:val="002500C8"/>
    <w:rsid w:val="0025238A"/>
    <w:rsid w:val="00257543"/>
    <w:rsid w:val="002607AD"/>
    <w:rsid w:val="002617E7"/>
    <w:rsid w:val="00262B6C"/>
    <w:rsid w:val="00262E32"/>
    <w:rsid w:val="00264228"/>
    <w:rsid w:val="00264334"/>
    <w:rsid w:val="0026473E"/>
    <w:rsid w:val="00264923"/>
    <w:rsid w:val="00266214"/>
    <w:rsid w:val="00267C83"/>
    <w:rsid w:val="00270443"/>
    <w:rsid w:val="0027144F"/>
    <w:rsid w:val="00271813"/>
    <w:rsid w:val="00271F3A"/>
    <w:rsid w:val="00272516"/>
    <w:rsid w:val="00273278"/>
    <w:rsid w:val="002737F4"/>
    <w:rsid w:val="00276A6E"/>
    <w:rsid w:val="002805F5"/>
    <w:rsid w:val="00280751"/>
    <w:rsid w:val="0028280A"/>
    <w:rsid w:val="00285AE1"/>
    <w:rsid w:val="00286ACD"/>
    <w:rsid w:val="00287838"/>
    <w:rsid w:val="002907B5"/>
    <w:rsid w:val="00292EB7"/>
    <w:rsid w:val="00293C9F"/>
    <w:rsid w:val="002950C5"/>
    <w:rsid w:val="00296227"/>
    <w:rsid w:val="00296F44"/>
    <w:rsid w:val="0029777D"/>
    <w:rsid w:val="002A055E"/>
    <w:rsid w:val="002A1D4E"/>
    <w:rsid w:val="002A2869"/>
    <w:rsid w:val="002A7A8E"/>
    <w:rsid w:val="002B12F5"/>
    <w:rsid w:val="002B1E4E"/>
    <w:rsid w:val="002B24D6"/>
    <w:rsid w:val="002B7D3D"/>
    <w:rsid w:val="002C198E"/>
    <w:rsid w:val="002C41E6"/>
    <w:rsid w:val="002C7BAF"/>
    <w:rsid w:val="002D071A"/>
    <w:rsid w:val="002D1C9F"/>
    <w:rsid w:val="002D34B2"/>
    <w:rsid w:val="002D43A9"/>
    <w:rsid w:val="002D48B0"/>
    <w:rsid w:val="002D5B37"/>
    <w:rsid w:val="002D7637"/>
    <w:rsid w:val="002E17F2"/>
    <w:rsid w:val="002E7CAE"/>
    <w:rsid w:val="002F0BEB"/>
    <w:rsid w:val="002F2771"/>
    <w:rsid w:val="002F37A9"/>
    <w:rsid w:val="002F5A12"/>
    <w:rsid w:val="002F5CA3"/>
    <w:rsid w:val="002F6ACE"/>
    <w:rsid w:val="002F73FA"/>
    <w:rsid w:val="00301CE6"/>
    <w:rsid w:val="0030256B"/>
    <w:rsid w:val="0030501F"/>
    <w:rsid w:val="00307BA1"/>
    <w:rsid w:val="00311702"/>
    <w:rsid w:val="00311E82"/>
    <w:rsid w:val="00313FD6"/>
    <w:rsid w:val="003143BD"/>
    <w:rsid w:val="00315363"/>
    <w:rsid w:val="003203ED"/>
    <w:rsid w:val="00320A74"/>
    <w:rsid w:val="00322A5B"/>
    <w:rsid w:val="00322C9F"/>
    <w:rsid w:val="00324D23"/>
    <w:rsid w:val="003271CA"/>
    <w:rsid w:val="00327883"/>
    <w:rsid w:val="00331751"/>
    <w:rsid w:val="00334579"/>
    <w:rsid w:val="00335791"/>
    <w:rsid w:val="00335858"/>
    <w:rsid w:val="00336BDA"/>
    <w:rsid w:val="00340ACC"/>
    <w:rsid w:val="00342B5D"/>
    <w:rsid w:val="00342BD7"/>
    <w:rsid w:val="003469D2"/>
    <w:rsid w:val="00346A49"/>
    <w:rsid w:val="00346DB5"/>
    <w:rsid w:val="003477B1"/>
    <w:rsid w:val="00352468"/>
    <w:rsid w:val="00356209"/>
    <w:rsid w:val="00357380"/>
    <w:rsid w:val="003602D9"/>
    <w:rsid w:val="003604CE"/>
    <w:rsid w:val="003709C7"/>
    <w:rsid w:val="00370E47"/>
    <w:rsid w:val="003742AC"/>
    <w:rsid w:val="00377CE1"/>
    <w:rsid w:val="003815B5"/>
    <w:rsid w:val="00385BF0"/>
    <w:rsid w:val="00387317"/>
    <w:rsid w:val="00390302"/>
    <w:rsid w:val="003939FF"/>
    <w:rsid w:val="0039452B"/>
    <w:rsid w:val="003A2223"/>
    <w:rsid w:val="003A2A0F"/>
    <w:rsid w:val="003A45A1"/>
    <w:rsid w:val="003A5B0A"/>
    <w:rsid w:val="003A6BAC"/>
    <w:rsid w:val="003A70A4"/>
    <w:rsid w:val="003A745B"/>
    <w:rsid w:val="003A7EF3"/>
    <w:rsid w:val="003B159C"/>
    <w:rsid w:val="003B369F"/>
    <w:rsid w:val="003B36A3"/>
    <w:rsid w:val="003B37D3"/>
    <w:rsid w:val="003B64BB"/>
    <w:rsid w:val="003B7FE5"/>
    <w:rsid w:val="003C0AF4"/>
    <w:rsid w:val="003C11C8"/>
    <w:rsid w:val="003C2702"/>
    <w:rsid w:val="003C4B9C"/>
    <w:rsid w:val="003C7806"/>
    <w:rsid w:val="003D109F"/>
    <w:rsid w:val="003D2478"/>
    <w:rsid w:val="003D2D90"/>
    <w:rsid w:val="003D3C45"/>
    <w:rsid w:val="003D4F20"/>
    <w:rsid w:val="003D5B1F"/>
    <w:rsid w:val="003E15FA"/>
    <w:rsid w:val="003E55E4"/>
    <w:rsid w:val="003E74E3"/>
    <w:rsid w:val="003F04A6"/>
    <w:rsid w:val="003F05C7"/>
    <w:rsid w:val="003F2CD4"/>
    <w:rsid w:val="003F6BBE"/>
    <w:rsid w:val="004000E8"/>
    <w:rsid w:val="004003FF"/>
    <w:rsid w:val="00402E2B"/>
    <w:rsid w:val="00403F84"/>
    <w:rsid w:val="0040512B"/>
    <w:rsid w:val="00405CA5"/>
    <w:rsid w:val="00407CD3"/>
    <w:rsid w:val="00410134"/>
    <w:rsid w:val="00410574"/>
    <w:rsid w:val="00410B72"/>
    <w:rsid w:val="00410F18"/>
    <w:rsid w:val="0041263E"/>
    <w:rsid w:val="00413AAC"/>
    <w:rsid w:val="00413E92"/>
    <w:rsid w:val="004150C4"/>
    <w:rsid w:val="00416400"/>
    <w:rsid w:val="0042004C"/>
    <w:rsid w:val="00421105"/>
    <w:rsid w:val="00422AA4"/>
    <w:rsid w:val="004242F4"/>
    <w:rsid w:val="00427248"/>
    <w:rsid w:val="00431439"/>
    <w:rsid w:val="00437447"/>
    <w:rsid w:val="00440810"/>
    <w:rsid w:val="00440E1C"/>
    <w:rsid w:val="00441A92"/>
    <w:rsid w:val="00442429"/>
    <w:rsid w:val="004431C8"/>
    <w:rsid w:val="004431DC"/>
    <w:rsid w:val="00444F56"/>
    <w:rsid w:val="00446488"/>
    <w:rsid w:val="004517AA"/>
    <w:rsid w:val="00452CAC"/>
    <w:rsid w:val="00454420"/>
    <w:rsid w:val="0045503A"/>
    <w:rsid w:val="00457565"/>
    <w:rsid w:val="00457B71"/>
    <w:rsid w:val="0046247E"/>
    <w:rsid w:val="004627E2"/>
    <w:rsid w:val="004669E2"/>
    <w:rsid w:val="00470C31"/>
    <w:rsid w:val="00471DE0"/>
    <w:rsid w:val="004734D0"/>
    <w:rsid w:val="004737F5"/>
    <w:rsid w:val="0047556B"/>
    <w:rsid w:val="00477768"/>
    <w:rsid w:val="004802EA"/>
    <w:rsid w:val="004836F6"/>
    <w:rsid w:val="00490CA2"/>
    <w:rsid w:val="00492BC5"/>
    <w:rsid w:val="0049316F"/>
    <w:rsid w:val="004964B5"/>
    <w:rsid w:val="004964F1"/>
    <w:rsid w:val="004A0DE1"/>
    <w:rsid w:val="004A16BC"/>
    <w:rsid w:val="004A2B94"/>
    <w:rsid w:val="004A64E5"/>
    <w:rsid w:val="004B6F6A"/>
    <w:rsid w:val="004B7C0C"/>
    <w:rsid w:val="004C2A4A"/>
    <w:rsid w:val="004C3898"/>
    <w:rsid w:val="004C5484"/>
    <w:rsid w:val="004D1DC2"/>
    <w:rsid w:val="004D36B1"/>
    <w:rsid w:val="004D4D53"/>
    <w:rsid w:val="004D7543"/>
    <w:rsid w:val="004D7BCD"/>
    <w:rsid w:val="004D7EBD"/>
    <w:rsid w:val="004E2680"/>
    <w:rsid w:val="004E28F9"/>
    <w:rsid w:val="004E462E"/>
    <w:rsid w:val="004E56DC"/>
    <w:rsid w:val="004E76F4"/>
    <w:rsid w:val="004E7C33"/>
    <w:rsid w:val="004F0B4E"/>
    <w:rsid w:val="004F0B6C"/>
    <w:rsid w:val="004F2078"/>
    <w:rsid w:val="004F4DA3"/>
    <w:rsid w:val="004F63F4"/>
    <w:rsid w:val="00501BCB"/>
    <w:rsid w:val="005021FE"/>
    <w:rsid w:val="00506557"/>
    <w:rsid w:val="0050677A"/>
    <w:rsid w:val="005108D8"/>
    <w:rsid w:val="005116F9"/>
    <w:rsid w:val="005153A7"/>
    <w:rsid w:val="005219CF"/>
    <w:rsid w:val="00521D9B"/>
    <w:rsid w:val="00534B59"/>
    <w:rsid w:val="00536759"/>
    <w:rsid w:val="005375FE"/>
    <w:rsid w:val="00537950"/>
    <w:rsid w:val="00537C62"/>
    <w:rsid w:val="00545057"/>
    <w:rsid w:val="00546970"/>
    <w:rsid w:val="00554E19"/>
    <w:rsid w:val="0056121F"/>
    <w:rsid w:val="00561342"/>
    <w:rsid w:val="00562E6A"/>
    <w:rsid w:val="00572505"/>
    <w:rsid w:val="005727A5"/>
    <w:rsid w:val="00575CF1"/>
    <w:rsid w:val="0057604A"/>
    <w:rsid w:val="00576F25"/>
    <w:rsid w:val="00582809"/>
    <w:rsid w:val="00582A52"/>
    <w:rsid w:val="005867DE"/>
    <w:rsid w:val="0058798C"/>
    <w:rsid w:val="005900FA"/>
    <w:rsid w:val="005935A4"/>
    <w:rsid w:val="005948C2"/>
    <w:rsid w:val="00595DCA"/>
    <w:rsid w:val="0059779B"/>
    <w:rsid w:val="005A209A"/>
    <w:rsid w:val="005A487E"/>
    <w:rsid w:val="005A662D"/>
    <w:rsid w:val="005B0C15"/>
    <w:rsid w:val="005B1409"/>
    <w:rsid w:val="005B35D7"/>
    <w:rsid w:val="005B392A"/>
    <w:rsid w:val="005B3AA3"/>
    <w:rsid w:val="005B6F83"/>
    <w:rsid w:val="005C5135"/>
    <w:rsid w:val="005C68F0"/>
    <w:rsid w:val="005C6EF1"/>
    <w:rsid w:val="005C74FB"/>
    <w:rsid w:val="005D1602"/>
    <w:rsid w:val="005E05A1"/>
    <w:rsid w:val="005E0810"/>
    <w:rsid w:val="005E1E91"/>
    <w:rsid w:val="005E1F21"/>
    <w:rsid w:val="005E385F"/>
    <w:rsid w:val="005E5B81"/>
    <w:rsid w:val="005E6D5B"/>
    <w:rsid w:val="005F2CB1"/>
    <w:rsid w:val="005F3025"/>
    <w:rsid w:val="005F618C"/>
    <w:rsid w:val="005F70BD"/>
    <w:rsid w:val="005F74FD"/>
    <w:rsid w:val="00600678"/>
    <w:rsid w:val="0060283C"/>
    <w:rsid w:val="0060320D"/>
    <w:rsid w:val="00604F14"/>
    <w:rsid w:val="00611B83"/>
    <w:rsid w:val="00613257"/>
    <w:rsid w:val="006201BE"/>
    <w:rsid w:val="00620A71"/>
    <w:rsid w:val="00620D80"/>
    <w:rsid w:val="00621DFD"/>
    <w:rsid w:val="006234A6"/>
    <w:rsid w:val="00624F93"/>
    <w:rsid w:val="00627091"/>
    <w:rsid w:val="00630001"/>
    <w:rsid w:val="006311B3"/>
    <w:rsid w:val="0063284C"/>
    <w:rsid w:val="00635B57"/>
    <w:rsid w:val="00636398"/>
    <w:rsid w:val="006368D3"/>
    <w:rsid w:val="006377EC"/>
    <w:rsid w:val="0064151F"/>
    <w:rsid w:val="00641533"/>
    <w:rsid w:val="0064208D"/>
    <w:rsid w:val="00643475"/>
    <w:rsid w:val="0064396A"/>
    <w:rsid w:val="00643B8A"/>
    <w:rsid w:val="00644A83"/>
    <w:rsid w:val="00645F0A"/>
    <w:rsid w:val="0064624E"/>
    <w:rsid w:val="0064674A"/>
    <w:rsid w:val="00650AB9"/>
    <w:rsid w:val="00651D94"/>
    <w:rsid w:val="006520D2"/>
    <w:rsid w:val="00655733"/>
    <w:rsid w:val="00655ACD"/>
    <w:rsid w:val="00655DFD"/>
    <w:rsid w:val="006569D0"/>
    <w:rsid w:val="00656A92"/>
    <w:rsid w:val="00656DDE"/>
    <w:rsid w:val="0066011D"/>
    <w:rsid w:val="006607C0"/>
    <w:rsid w:val="006613A6"/>
    <w:rsid w:val="006627A2"/>
    <w:rsid w:val="006634E6"/>
    <w:rsid w:val="00664265"/>
    <w:rsid w:val="00664E55"/>
    <w:rsid w:val="006655EE"/>
    <w:rsid w:val="006679A4"/>
    <w:rsid w:val="00667EE7"/>
    <w:rsid w:val="00667F97"/>
    <w:rsid w:val="00670922"/>
    <w:rsid w:val="00670BE1"/>
    <w:rsid w:val="00671EDD"/>
    <w:rsid w:val="0067218F"/>
    <w:rsid w:val="006730F4"/>
    <w:rsid w:val="006741F2"/>
    <w:rsid w:val="00674CC3"/>
    <w:rsid w:val="00675C72"/>
    <w:rsid w:val="006771F9"/>
    <w:rsid w:val="006776D7"/>
    <w:rsid w:val="006801B5"/>
    <w:rsid w:val="00681003"/>
    <w:rsid w:val="006817C9"/>
    <w:rsid w:val="00683ECE"/>
    <w:rsid w:val="0068499E"/>
    <w:rsid w:val="0068535F"/>
    <w:rsid w:val="00695FC2"/>
    <w:rsid w:val="00696949"/>
    <w:rsid w:val="00696EF7"/>
    <w:rsid w:val="00697052"/>
    <w:rsid w:val="006A46FB"/>
    <w:rsid w:val="006A5E28"/>
    <w:rsid w:val="006A697B"/>
    <w:rsid w:val="006A7AFF"/>
    <w:rsid w:val="006B1816"/>
    <w:rsid w:val="006B1876"/>
    <w:rsid w:val="006B2099"/>
    <w:rsid w:val="006B50CF"/>
    <w:rsid w:val="006B771D"/>
    <w:rsid w:val="006C03B8"/>
    <w:rsid w:val="006C1DE4"/>
    <w:rsid w:val="006C4F1B"/>
    <w:rsid w:val="006C5EC9"/>
    <w:rsid w:val="006C6059"/>
    <w:rsid w:val="006C7522"/>
    <w:rsid w:val="006D58ED"/>
    <w:rsid w:val="006D6F08"/>
    <w:rsid w:val="006D7B1E"/>
    <w:rsid w:val="006E062C"/>
    <w:rsid w:val="006E1C82"/>
    <w:rsid w:val="006E24E2"/>
    <w:rsid w:val="006E28B7"/>
    <w:rsid w:val="006E2A9B"/>
    <w:rsid w:val="006E3310"/>
    <w:rsid w:val="006E4188"/>
    <w:rsid w:val="006E4E39"/>
    <w:rsid w:val="006E565E"/>
    <w:rsid w:val="006E599D"/>
    <w:rsid w:val="006E673D"/>
    <w:rsid w:val="006E7D3B"/>
    <w:rsid w:val="006F1B70"/>
    <w:rsid w:val="006F341D"/>
    <w:rsid w:val="006F3CDE"/>
    <w:rsid w:val="006F58D4"/>
    <w:rsid w:val="006F6582"/>
    <w:rsid w:val="006F6A58"/>
    <w:rsid w:val="0070346E"/>
    <w:rsid w:val="00704EDB"/>
    <w:rsid w:val="00706101"/>
    <w:rsid w:val="00707072"/>
    <w:rsid w:val="00707D61"/>
    <w:rsid w:val="00712287"/>
    <w:rsid w:val="00712772"/>
    <w:rsid w:val="007148D3"/>
    <w:rsid w:val="00715B9A"/>
    <w:rsid w:val="00717A1D"/>
    <w:rsid w:val="00717EEA"/>
    <w:rsid w:val="00724D29"/>
    <w:rsid w:val="007257D0"/>
    <w:rsid w:val="00726EA6"/>
    <w:rsid w:val="00727208"/>
    <w:rsid w:val="00727680"/>
    <w:rsid w:val="007348B1"/>
    <w:rsid w:val="007362A6"/>
    <w:rsid w:val="00736D7D"/>
    <w:rsid w:val="00740E58"/>
    <w:rsid w:val="00741AA6"/>
    <w:rsid w:val="00741CBF"/>
    <w:rsid w:val="007445A0"/>
    <w:rsid w:val="0074524B"/>
    <w:rsid w:val="00746B31"/>
    <w:rsid w:val="00747D8B"/>
    <w:rsid w:val="00750F62"/>
    <w:rsid w:val="00751228"/>
    <w:rsid w:val="007571E1"/>
    <w:rsid w:val="007604B2"/>
    <w:rsid w:val="00760BD0"/>
    <w:rsid w:val="00765281"/>
    <w:rsid w:val="00766BAD"/>
    <w:rsid w:val="007729A2"/>
    <w:rsid w:val="00774599"/>
    <w:rsid w:val="007755F2"/>
    <w:rsid w:val="007759D6"/>
    <w:rsid w:val="00775FE7"/>
    <w:rsid w:val="00776971"/>
    <w:rsid w:val="00780A80"/>
    <w:rsid w:val="00780FC4"/>
    <w:rsid w:val="0078177E"/>
    <w:rsid w:val="0078304C"/>
    <w:rsid w:val="00783673"/>
    <w:rsid w:val="0078547B"/>
    <w:rsid w:val="00785490"/>
    <w:rsid w:val="0078748B"/>
    <w:rsid w:val="00791381"/>
    <w:rsid w:val="007925EA"/>
    <w:rsid w:val="00793CD8"/>
    <w:rsid w:val="00795C92"/>
    <w:rsid w:val="00796231"/>
    <w:rsid w:val="00796BAD"/>
    <w:rsid w:val="007A1CB3"/>
    <w:rsid w:val="007A306F"/>
    <w:rsid w:val="007A32E9"/>
    <w:rsid w:val="007A43A6"/>
    <w:rsid w:val="007A58A6"/>
    <w:rsid w:val="007B3D2D"/>
    <w:rsid w:val="007B50AE"/>
    <w:rsid w:val="007B51DF"/>
    <w:rsid w:val="007C05DD"/>
    <w:rsid w:val="007C3D18"/>
    <w:rsid w:val="007C5429"/>
    <w:rsid w:val="007C60BF"/>
    <w:rsid w:val="007C6A07"/>
    <w:rsid w:val="007C6A98"/>
    <w:rsid w:val="007C75A1"/>
    <w:rsid w:val="007C77A5"/>
    <w:rsid w:val="007D04E5"/>
    <w:rsid w:val="007D5901"/>
    <w:rsid w:val="007D7526"/>
    <w:rsid w:val="007E1ABB"/>
    <w:rsid w:val="007E1ECC"/>
    <w:rsid w:val="007E2931"/>
    <w:rsid w:val="007E3BF7"/>
    <w:rsid w:val="007E4610"/>
    <w:rsid w:val="007E4715"/>
    <w:rsid w:val="007E505B"/>
    <w:rsid w:val="007E7091"/>
    <w:rsid w:val="007F00BA"/>
    <w:rsid w:val="007F0CD7"/>
    <w:rsid w:val="007F3B75"/>
    <w:rsid w:val="00802495"/>
    <w:rsid w:val="00803AAF"/>
    <w:rsid w:val="00803FAE"/>
    <w:rsid w:val="0080605F"/>
    <w:rsid w:val="00807786"/>
    <w:rsid w:val="00811FCB"/>
    <w:rsid w:val="008158D6"/>
    <w:rsid w:val="00815A9D"/>
    <w:rsid w:val="00817196"/>
    <w:rsid w:val="008235DB"/>
    <w:rsid w:val="00824AB4"/>
    <w:rsid w:val="00825C42"/>
    <w:rsid w:val="00825D25"/>
    <w:rsid w:val="00825F2B"/>
    <w:rsid w:val="00827D6F"/>
    <w:rsid w:val="00832C5E"/>
    <w:rsid w:val="008376AC"/>
    <w:rsid w:val="00843445"/>
    <w:rsid w:val="00843965"/>
    <w:rsid w:val="008444E8"/>
    <w:rsid w:val="00844E80"/>
    <w:rsid w:val="00846FE7"/>
    <w:rsid w:val="00850D2D"/>
    <w:rsid w:val="008515AD"/>
    <w:rsid w:val="00856911"/>
    <w:rsid w:val="00864D0D"/>
    <w:rsid w:val="008677FD"/>
    <w:rsid w:val="008706D4"/>
    <w:rsid w:val="00870F47"/>
    <w:rsid w:val="00870F8A"/>
    <w:rsid w:val="008719A4"/>
    <w:rsid w:val="00871D23"/>
    <w:rsid w:val="00874312"/>
    <w:rsid w:val="0087437C"/>
    <w:rsid w:val="00875CD7"/>
    <w:rsid w:val="00876B4D"/>
    <w:rsid w:val="008771DF"/>
    <w:rsid w:val="00877F18"/>
    <w:rsid w:val="008941E3"/>
    <w:rsid w:val="00894A88"/>
    <w:rsid w:val="00895386"/>
    <w:rsid w:val="0089634B"/>
    <w:rsid w:val="008A21FF"/>
    <w:rsid w:val="008A2CE2"/>
    <w:rsid w:val="008A30AC"/>
    <w:rsid w:val="008A326D"/>
    <w:rsid w:val="008A44B8"/>
    <w:rsid w:val="008A51A8"/>
    <w:rsid w:val="008A54C7"/>
    <w:rsid w:val="008A77D8"/>
    <w:rsid w:val="008B0483"/>
    <w:rsid w:val="008B120C"/>
    <w:rsid w:val="008B51A0"/>
    <w:rsid w:val="008B592A"/>
    <w:rsid w:val="008B7B5C"/>
    <w:rsid w:val="008C0C99"/>
    <w:rsid w:val="008C2017"/>
    <w:rsid w:val="008C307C"/>
    <w:rsid w:val="008C4958"/>
    <w:rsid w:val="008C4B0A"/>
    <w:rsid w:val="008C4BAA"/>
    <w:rsid w:val="008C6AE8"/>
    <w:rsid w:val="008C7573"/>
    <w:rsid w:val="008D00A5"/>
    <w:rsid w:val="008D250A"/>
    <w:rsid w:val="008D256D"/>
    <w:rsid w:val="008D305F"/>
    <w:rsid w:val="008D34F1"/>
    <w:rsid w:val="008D39D8"/>
    <w:rsid w:val="008D6499"/>
    <w:rsid w:val="008D6D1A"/>
    <w:rsid w:val="008E065E"/>
    <w:rsid w:val="008E0927"/>
    <w:rsid w:val="008E1909"/>
    <w:rsid w:val="008E37F7"/>
    <w:rsid w:val="008F1C4E"/>
    <w:rsid w:val="008F1EAB"/>
    <w:rsid w:val="008F2EE6"/>
    <w:rsid w:val="008F33DC"/>
    <w:rsid w:val="008F477F"/>
    <w:rsid w:val="00901042"/>
    <w:rsid w:val="00902350"/>
    <w:rsid w:val="0090336B"/>
    <w:rsid w:val="009053AA"/>
    <w:rsid w:val="00906939"/>
    <w:rsid w:val="00907E3C"/>
    <w:rsid w:val="00910B7D"/>
    <w:rsid w:val="00911DFB"/>
    <w:rsid w:val="009139D9"/>
    <w:rsid w:val="00913D66"/>
    <w:rsid w:val="00914AD8"/>
    <w:rsid w:val="00916079"/>
    <w:rsid w:val="00917CE9"/>
    <w:rsid w:val="00920BF2"/>
    <w:rsid w:val="00922010"/>
    <w:rsid w:val="009243EF"/>
    <w:rsid w:val="009270B9"/>
    <w:rsid w:val="00931BD9"/>
    <w:rsid w:val="009368D3"/>
    <w:rsid w:val="009368F3"/>
    <w:rsid w:val="0093720F"/>
    <w:rsid w:val="00941636"/>
    <w:rsid w:val="00943742"/>
    <w:rsid w:val="00945C05"/>
    <w:rsid w:val="009461E1"/>
    <w:rsid w:val="00946945"/>
    <w:rsid w:val="00947713"/>
    <w:rsid w:val="00950DE7"/>
    <w:rsid w:val="00951C0F"/>
    <w:rsid w:val="00953920"/>
    <w:rsid w:val="00953D47"/>
    <w:rsid w:val="0095681E"/>
    <w:rsid w:val="00956866"/>
    <w:rsid w:val="009572D4"/>
    <w:rsid w:val="00961921"/>
    <w:rsid w:val="0096430A"/>
    <w:rsid w:val="0096554B"/>
    <w:rsid w:val="0096584A"/>
    <w:rsid w:val="00970CD7"/>
    <w:rsid w:val="00971F08"/>
    <w:rsid w:val="0097378B"/>
    <w:rsid w:val="00974086"/>
    <w:rsid w:val="0097603D"/>
    <w:rsid w:val="00976949"/>
    <w:rsid w:val="00980477"/>
    <w:rsid w:val="00985253"/>
    <w:rsid w:val="009853B3"/>
    <w:rsid w:val="00985DA0"/>
    <w:rsid w:val="00990630"/>
    <w:rsid w:val="00991761"/>
    <w:rsid w:val="00994DCA"/>
    <w:rsid w:val="00996081"/>
    <w:rsid w:val="009960EC"/>
    <w:rsid w:val="009970DD"/>
    <w:rsid w:val="009A0FBA"/>
    <w:rsid w:val="009A1601"/>
    <w:rsid w:val="009A3BB6"/>
    <w:rsid w:val="009A462D"/>
    <w:rsid w:val="009A5CBA"/>
    <w:rsid w:val="009A6B82"/>
    <w:rsid w:val="009A7028"/>
    <w:rsid w:val="009B1F30"/>
    <w:rsid w:val="009B265D"/>
    <w:rsid w:val="009B3AC2"/>
    <w:rsid w:val="009B4B07"/>
    <w:rsid w:val="009B4DF4"/>
    <w:rsid w:val="009B564E"/>
    <w:rsid w:val="009B7E87"/>
    <w:rsid w:val="009C0169"/>
    <w:rsid w:val="009C403E"/>
    <w:rsid w:val="009C6651"/>
    <w:rsid w:val="009D4FF0"/>
    <w:rsid w:val="009D703C"/>
    <w:rsid w:val="009D718F"/>
    <w:rsid w:val="009E068F"/>
    <w:rsid w:val="009E14E0"/>
    <w:rsid w:val="009E35DB"/>
    <w:rsid w:val="009E47A3"/>
    <w:rsid w:val="009F08F3"/>
    <w:rsid w:val="009F344F"/>
    <w:rsid w:val="009F539F"/>
    <w:rsid w:val="009F66CB"/>
    <w:rsid w:val="00A031D8"/>
    <w:rsid w:val="00A048A8"/>
    <w:rsid w:val="00A04F49"/>
    <w:rsid w:val="00A11C60"/>
    <w:rsid w:val="00A132A0"/>
    <w:rsid w:val="00A13E54"/>
    <w:rsid w:val="00A153F8"/>
    <w:rsid w:val="00A17F63"/>
    <w:rsid w:val="00A2193B"/>
    <w:rsid w:val="00A21A7C"/>
    <w:rsid w:val="00A227E4"/>
    <w:rsid w:val="00A2351A"/>
    <w:rsid w:val="00A264A9"/>
    <w:rsid w:val="00A26917"/>
    <w:rsid w:val="00A26DCF"/>
    <w:rsid w:val="00A27785"/>
    <w:rsid w:val="00A30187"/>
    <w:rsid w:val="00A3448A"/>
    <w:rsid w:val="00A36297"/>
    <w:rsid w:val="00A41E2B"/>
    <w:rsid w:val="00A422A3"/>
    <w:rsid w:val="00A457D2"/>
    <w:rsid w:val="00A45B74"/>
    <w:rsid w:val="00A479A6"/>
    <w:rsid w:val="00A52E1D"/>
    <w:rsid w:val="00A56913"/>
    <w:rsid w:val="00A57B05"/>
    <w:rsid w:val="00A6138F"/>
    <w:rsid w:val="00A61499"/>
    <w:rsid w:val="00A62A77"/>
    <w:rsid w:val="00A63483"/>
    <w:rsid w:val="00A657D7"/>
    <w:rsid w:val="00A660AC"/>
    <w:rsid w:val="00A67E6C"/>
    <w:rsid w:val="00A71114"/>
    <w:rsid w:val="00A71B99"/>
    <w:rsid w:val="00A7388E"/>
    <w:rsid w:val="00A739D0"/>
    <w:rsid w:val="00A761D4"/>
    <w:rsid w:val="00A77EC4"/>
    <w:rsid w:val="00A90AEE"/>
    <w:rsid w:val="00A92879"/>
    <w:rsid w:val="00A9442A"/>
    <w:rsid w:val="00AA016F"/>
    <w:rsid w:val="00AA1ED6"/>
    <w:rsid w:val="00AA3649"/>
    <w:rsid w:val="00AA51D6"/>
    <w:rsid w:val="00AB0BC8"/>
    <w:rsid w:val="00AB11CA"/>
    <w:rsid w:val="00AB14D9"/>
    <w:rsid w:val="00AB2AF0"/>
    <w:rsid w:val="00AB4AB8"/>
    <w:rsid w:val="00AB655E"/>
    <w:rsid w:val="00AB7AC5"/>
    <w:rsid w:val="00AC007F"/>
    <w:rsid w:val="00AC2ECD"/>
    <w:rsid w:val="00AC3119"/>
    <w:rsid w:val="00AC344D"/>
    <w:rsid w:val="00AC49FB"/>
    <w:rsid w:val="00AC5A10"/>
    <w:rsid w:val="00AD0AA3"/>
    <w:rsid w:val="00AD2ED0"/>
    <w:rsid w:val="00AD3F94"/>
    <w:rsid w:val="00AD4A5A"/>
    <w:rsid w:val="00AD5CF1"/>
    <w:rsid w:val="00AD7718"/>
    <w:rsid w:val="00AD7D6D"/>
    <w:rsid w:val="00AE27AC"/>
    <w:rsid w:val="00AE3821"/>
    <w:rsid w:val="00AE40E0"/>
    <w:rsid w:val="00AE4DBA"/>
    <w:rsid w:val="00AE4F07"/>
    <w:rsid w:val="00AF1C5D"/>
    <w:rsid w:val="00AF42D7"/>
    <w:rsid w:val="00B006FE"/>
    <w:rsid w:val="00B007CB"/>
    <w:rsid w:val="00B023A1"/>
    <w:rsid w:val="00B02AA9"/>
    <w:rsid w:val="00B02FA3"/>
    <w:rsid w:val="00B05084"/>
    <w:rsid w:val="00B05FBC"/>
    <w:rsid w:val="00B06C97"/>
    <w:rsid w:val="00B157F9"/>
    <w:rsid w:val="00B159D0"/>
    <w:rsid w:val="00B20256"/>
    <w:rsid w:val="00B20D09"/>
    <w:rsid w:val="00B2763F"/>
    <w:rsid w:val="00B27AAC"/>
    <w:rsid w:val="00B30929"/>
    <w:rsid w:val="00B30D2B"/>
    <w:rsid w:val="00B31802"/>
    <w:rsid w:val="00B31B81"/>
    <w:rsid w:val="00B372AA"/>
    <w:rsid w:val="00B40445"/>
    <w:rsid w:val="00B409E0"/>
    <w:rsid w:val="00B40F70"/>
    <w:rsid w:val="00B41888"/>
    <w:rsid w:val="00B45A52"/>
    <w:rsid w:val="00B45DD2"/>
    <w:rsid w:val="00B46175"/>
    <w:rsid w:val="00B548B7"/>
    <w:rsid w:val="00B61870"/>
    <w:rsid w:val="00B654B1"/>
    <w:rsid w:val="00B664C7"/>
    <w:rsid w:val="00B73503"/>
    <w:rsid w:val="00B739F6"/>
    <w:rsid w:val="00B75FA3"/>
    <w:rsid w:val="00B7789B"/>
    <w:rsid w:val="00B81A6C"/>
    <w:rsid w:val="00B83975"/>
    <w:rsid w:val="00B85DE5"/>
    <w:rsid w:val="00B90F73"/>
    <w:rsid w:val="00B92C95"/>
    <w:rsid w:val="00B93A2C"/>
    <w:rsid w:val="00B93B59"/>
    <w:rsid w:val="00B9406A"/>
    <w:rsid w:val="00BA2280"/>
    <w:rsid w:val="00BA2A08"/>
    <w:rsid w:val="00BA56D2"/>
    <w:rsid w:val="00BA69DD"/>
    <w:rsid w:val="00BA7172"/>
    <w:rsid w:val="00BA76E0"/>
    <w:rsid w:val="00BB2A25"/>
    <w:rsid w:val="00BB51E9"/>
    <w:rsid w:val="00BC0FDC"/>
    <w:rsid w:val="00BC3053"/>
    <w:rsid w:val="00BC4D2E"/>
    <w:rsid w:val="00BC7287"/>
    <w:rsid w:val="00BC7AA4"/>
    <w:rsid w:val="00BD4595"/>
    <w:rsid w:val="00BD48AC"/>
    <w:rsid w:val="00BD5F1A"/>
    <w:rsid w:val="00BE1234"/>
    <w:rsid w:val="00BE135D"/>
    <w:rsid w:val="00BE2FA6"/>
    <w:rsid w:val="00BE333F"/>
    <w:rsid w:val="00BE60B7"/>
    <w:rsid w:val="00BE7406"/>
    <w:rsid w:val="00BE7603"/>
    <w:rsid w:val="00BF3279"/>
    <w:rsid w:val="00BF3900"/>
    <w:rsid w:val="00BF74C7"/>
    <w:rsid w:val="00C015F1"/>
    <w:rsid w:val="00C01F33"/>
    <w:rsid w:val="00C02CC6"/>
    <w:rsid w:val="00C0361D"/>
    <w:rsid w:val="00C040F7"/>
    <w:rsid w:val="00C044AB"/>
    <w:rsid w:val="00C04E83"/>
    <w:rsid w:val="00C05706"/>
    <w:rsid w:val="00C06081"/>
    <w:rsid w:val="00C065FF"/>
    <w:rsid w:val="00C07377"/>
    <w:rsid w:val="00C10478"/>
    <w:rsid w:val="00C11B90"/>
    <w:rsid w:val="00C11DA7"/>
    <w:rsid w:val="00C12107"/>
    <w:rsid w:val="00C142DF"/>
    <w:rsid w:val="00C14D4B"/>
    <w:rsid w:val="00C154BB"/>
    <w:rsid w:val="00C15FF9"/>
    <w:rsid w:val="00C279B5"/>
    <w:rsid w:val="00C27C45"/>
    <w:rsid w:val="00C30876"/>
    <w:rsid w:val="00C30FB8"/>
    <w:rsid w:val="00C328E3"/>
    <w:rsid w:val="00C33462"/>
    <w:rsid w:val="00C33D2A"/>
    <w:rsid w:val="00C3719D"/>
    <w:rsid w:val="00C37CB2"/>
    <w:rsid w:val="00C436E4"/>
    <w:rsid w:val="00C473A5"/>
    <w:rsid w:val="00C54995"/>
    <w:rsid w:val="00C54D41"/>
    <w:rsid w:val="00C60783"/>
    <w:rsid w:val="00C61BB4"/>
    <w:rsid w:val="00C64672"/>
    <w:rsid w:val="00C70697"/>
    <w:rsid w:val="00C72093"/>
    <w:rsid w:val="00C72270"/>
    <w:rsid w:val="00C725D8"/>
    <w:rsid w:val="00C72EF4"/>
    <w:rsid w:val="00C744FE"/>
    <w:rsid w:val="00C75D2F"/>
    <w:rsid w:val="00C767BE"/>
    <w:rsid w:val="00C76E3C"/>
    <w:rsid w:val="00C81568"/>
    <w:rsid w:val="00C856BD"/>
    <w:rsid w:val="00C86BD7"/>
    <w:rsid w:val="00C9027A"/>
    <w:rsid w:val="00C9068E"/>
    <w:rsid w:val="00C90A2A"/>
    <w:rsid w:val="00C93814"/>
    <w:rsid w:val="00C93C4B"/>
    <w:rsid w:val="00C944AB"/>
    <w:rsid w:val="00C95B40"/>
    <w:rsid w:val="00C95E61"/>
    <w:rsid w:val="00CA12CD"/>
    <w:rsid w:val="00CA1ED8"/>
    <w:rsid w:val="00CA5B2F"/>
    <w:rsid w:val="00CA70A7"/>
    <w:rsid w:val="00CB1F63"/>
    <w:rsid w:val="00CB7170"/>
    <w:rsid w:val="00CC040E"/>
    <w:rsid w:val="00CC111F"/>
    <w:rsid w:val="00CC2011"/>
    <w:rsid w:val="00CC3EA0"/>
    <w:rsid w:val="00CC7B45"/>
    <w:rsid w:val="00CD1188"/>
    <w:rsid w:val="00CD2ED1"/>
    <w:rsid w:val="00CD337B"/>
    <w:rsid w:val="00CD4F44"/>
    <w:rsid w:val="00CE0424"/>
    <w:rsid w:val="00CE7561"/>
    <w:rsid w:val="00CF1053"/>
    <w:rsid w:val="00CF1354"/>
    <w:rsid w:val="00CF3B1F"/>
    <w:rsid w:val="00CF3BF6"/>
    <w:rsid w:val="00CF625B"/>
    <w:rsid w:val="00CF687E"/>
    <w:rsid w:val="00D0349B"/>
    <w:rsid w:val="00D05A02"/>
    <w:rsid w:val="00D10249"/>
    <w:rsid w:val="00D102ED"/>
    <w:rsid w:val="00D115C3"/>
    <w:rsid w:val="00D11897"/>
    <w:rsid w:val="00D13135"/>
    <w:rsid w:val="00D13E4E"/>
    <w:rsid w:val="00D239A7"/>
    <w:rsid w:val="00D23F47"/>
    <w:rsid w:val="00D24E57"/>
    <w:rsid w:val="00D31743"/>
    <w:rsid w:val="00D32EB8"/>
    <w:rsid w:val="00D33139"/>
    <w:rsid w:val="00D34136"/>
    <w:rsid w:val="00D36E71"/>
    <w:rsid w:val="00D377F2"/>
    <w:rsid w:val="00D37D87"/>
    <w:rsid w:val="00D40B33"/>
    <w:rsid w:val="00D40FC6"/>
    <w:rsid w:val="00D4318F"/>
    <w:rsid w:val="00D438BF"/>
    <w:rsid w:val="00D440F8"/>
    <w:rsid w:val="00D51EA3"/>
    <w:rsid w:val="00D546FF"/>
    <w:rsid w:val="00D55AD5"/>
    <w:rsid w:val="00D57647"/>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DA6"/>
    <w:rsid w:val="00DA305E"/>
    <w:rsid w:val="00DA5417"/>
    <w:rsid w:val="00DA56E8"/>
    <w:rsid w:val="00DB0A9F"/>
    <w:rsid w:val="00DB377D"/>
    <w:rsid w:val="00DB69BA"/>
    <w:rsid w:val="00DC2D36"/>
    <w:rsid w:val="00DC31C1"/>
    <w:rsid w:val="00DC53EF"/>
    <w:rsid w:val="00DE5608"/>
    <w:rsid w:val="00DE58D0"/>
    <w:rsid w:val="00DE654F"/>
    <w:rsid w:val="00DE702A"/>
    <w:rsid w:val="00DE71F8"/>
    <w:rsid w:val="00DF0B6E"/>
    <w:rsid w:val="00DF15E0"/>
    <w:rsid w:val="00DF37A0"/>
    <w:rsid w:val="00DF39B9"/>
    <w:rsid w:val="00DF6BA7"/>
    <w:rsid w:val="00E029F9"/>
    <w:rsid w:val="00E110E7"/>
    <w:rsid w:val="00E11B20"/>
    <w:rsid w:val="00E1785D"/>
    <w:rsid w:val="00E17FA2"/>
    <w:rsid w:val="00E22330"/>
    <w:rsid w:val="00E235BD"/>
    <w:rsid w:val="00E30B5A"/>
    <w:rsid w:val="00E3123D"/>
    <w:rsid w:val="00E31461"/>
    <w:rsid w:val="00E31D43"/>
    <w:rsid w:val="00E32608"/>
    <w:rsid w:val="00E339F2"/>
    <w:rsid w:val="00E34188"/>
    <w:rsid w:val="00E344C4"/>
    <w:rsid w:val="00E34B6E"/>
    <w:rsid w:val="00E35559"/>
    <w:rsid w:val="00E3723A"/>
    <w:rsid w:val="00E37860"/>
    <w:rsid w:val="00E446F1"/>
    <w:rsid w:val="00E46886"/>
    <w:rsid w:val="00E47AEF"/>
    <w:rsid w:val="00E53B75"/>
    <w:rsid w:val="00E54E3B"/>
    <w:rsid w:val="00E57565"/>
    <w:rsid w:val="00E61225"/>
    <w:rsid w:val="00E63838"/>
    <w:rsid w:val="00E641FD"/>
    <w:rsid w:val="00E64434"/>
    <w:rsid w:val="00E662FD"/>
    <w:rsid w:val="00E67C51"/>
    <w:rsid w:val="00E72EFC"/>
    <w:rsid w:val="00E758EC"/>
    <w:rsid w:val="00E76B6D"/>
    <w:rsid w:val="00E76CF6"/>
    <w:rsid w:val="00E77DD4"/>
    <w:rsid w:val="00E8234C"/>
    <w:rsid w:val="00E83AA9"/>
    <w:rsid w:val="00E83BD7"/>
    <w:rsid w:val="00E85928"/>
    <w:rsid w:val="00E8620E"/>
    <w:rsid w:val="00E87822"/>
    <w:rsid w:val="00E90395"/>
    <w:rsid w:val="00E90E49"/>
    <w:rsid w:val="00E917F9"/>
    <w:rsid w:val="00E9291C"/>
    <w:rsid w:val="00E93FFE"/>
    <w:rsid w:val="00E94F8A"/>
    <w:rsid w:val="00E95A9B"/>
    <w:rsid w:val="00EA5F00"/>
    <w:rsid w:val="00EA7A41"/>
    <w:rsid w:val="00EB0635"/>
    <w:rsid w:val="00EB077B"/>
    <w:rsid w:val="00EB4EA2"/>
    <w:rsid w:val="00EC24D5"/>
    <w:rsid w:val="00EC27C6"/>
    <w:rsid w:val="00EC3D8F"/>
    <w:rsid w:val="00EC4207"/>
    <w:rsid w:val="00EC4D02"/>
    <w:rsid w:val="00EC5653"/>
    <w:rsid w:val="00EC71CE"/>
    <w:rsid w:val="00ED0552"/>
    <w:rsid w:val="00ED1006"/>
    <w:rsid w:val="00ED3C5B"/>
    <w:rsid w:val="00EE2E0E"/>
    <w:rsid w:val="00EE70F5"/>
    <w:rsid w:val="00EF0930"/>
    <w:rsid w:val="00EF18FE"/>
    <w:rsid w:val="00EF5787"/>
    <w:rsid w:val="00EF60D0"/>
    <w:rsid w:val="00F0528D"/>
    <w:rsid w:val="00F06C67"/>
    <w:rsid w:val="00F06DFD"/>
    <w:rsid w:val="00F071D1"/>
    <w:rsid w:val="00F07533"/>
    <w:rsid w:val="00F10629"/>
    <w:rsid w:val="00F10C89"/>
    <w:rsid w:val="00F15FA5"/>
    <w:rsid w:val="00F209B7"/>
    <w:rsid w:val="00F223E0"/>
    <w:rsid w:val="00F2376F"/>
    <w:rsid w:val="00F23F29"/>
    <w:rsid w:val="00F243D8"/>
    <w:rsid w:val="00F24538"/>
    <w:rsid w:val="00F30828"/>
    <w:rsid w:val="00F313D6"/>
    <w:rsid w:val="00F40F0C"/>
    <w:rsid w:val="00F42AA6"/>
    <w:rsid w:val="00F4766C"/>
    <w:rsid w:val="00F5060E"/>
    <w:rsid w:val="00F507D1"/>
    <w:rsid w:val="00F519CE"/>
    <w:rsid w:val="00F51ADA"/>
    <w:rsid w:val="00F56E32"/>
    <w:rsid w:val="00F60203"/>
    <w:rsid w:val="00F607C5"/>
    <w:rsid w:val="00F60DEA"/>
    <w:rsid w:val="00F62332"/>
    <w:rsid w:val="00F6302A"/>
    <w:rsid w:val="00F63950"/>
    <w:rsid w:val="00F64C2B"/>
    <w:rsid w:val="00F651BE"/>
    <w:rsid w:val="00F67F53"/>
    <w:rsid w:val="00F703BE"/>
    <w:rsid w:val="00F71F69"/>
    <w:rsid w:val="00F72B72"/>
    <w:rsid w:val="00F74BB9"/>
    <w:rsid w:val="00F7529C"/>
    <w:rsid w:val="00F75582"/>
    <w:rsid w:val="00F76EFA"/>
    <w:rsid w:val="00F77FD5"/>
    <w:rsid w:val="00F804BE"/>
    <w:rsid w:val="00F817CE"/>
    <w:rsid w:val="00F82D96"/>
    <w:rsid w:val="00F8456C"/>
    <w:rsid w:val="00F85460"/>
    <w:rsid w:val="00F8586A"/>
    <w:rsid w:val="00F859D8"/>
    <w:rsid w:val="00F868F5"/>
    <w:rsid w:val="00F9056A"/>
    <w:rsid w:val="00F90F8D"/>
    <w:rsid w:val="00F92782"/>
    <w:rsid w:val="00F93AA9"/>
    <w:rsid w:val="00F96985"/>
    <w:rsid w:val="00F97838"/>
    <w:rsid w:val="00FA188A"/>
    <w:rsid w:val="00FA2A9A"/>
    <w:rsid w:val="00FA2BB3"/>
    <w:rsid w:val="00FB212E"/>
    <w:rsid w:val="00FB4C80"/>
    <w:rsid w:val="00FB6A6A"/>
    <w:rsid w:val="00FC7429"/>
    <w:rsid w:val="00FD07F6"/>
    <w:rsid w:val="00FD1EC8"/>
    <w:rsid w:val="00FD47ED"/>
    <w:rsid w:val="00FD74DB"/>
    <w:rsid w:val="00FD7660"/>
    <w:rsid w:val="00FE0655"/>
    <w:rsid w:val="00FE2365"/>
    <w:rsid w:val="00FE37D7"/>
    <w:rsid w:val="00FE4C7B"/>
    <w:rsid w:val="00FE5250"/>
    <w:rsid w:val="00FE7336"/>
    <w:rsid w:val="00FE787C"/>
    <w:rsid w:val="00FF45A5"/>
    <w:rsid w:val="00FF5C91"/>
    <w:rsid w:val="00FF76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E0E0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5913"/>
    <w:pPr>
      <w:spacing w:after="180"/>
    </w:pPr>
    <w:rPr>
      <w:rFonts w:ascii="Times New Roman" w:hAnsi="Times New Roman"/>
      <w:lang w:eastAsia="en-US"/>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widowControl w:val="0"/>
      <w:kinsoku w:val="0"/>
      <w:overflowPunct w:val="0"/>
      <w:autoSpaceDE w:val="0"/>
      <w:autoSpaceDN w:val="0"/>
      <w:adjustRightInd w:val="0"/>
      <w:snapToGrid w:val="0"/>
      <w:spacing w:before="180" w:after="60"/>
      <w:jc w:val="center"/>
    </w:pPr>
    <w:rPr>
      <w:rFonts w:eastAsia="Batang"/>
      <w:kern w:val="2"/>
      <w:szCs w:val="22"/>
      <w:lang w:eastAsia="ko-KR"/>
    </w:rPr>
  </w:style>
  <w:style w:type="paragraph" w:styleId="Caption">
    <w:name w:val="caption"/>
    <w:basedOn w:val="Normal"/>
    <w:next w:val="Normal"/>
    <w:qFormat/>
    <w:rsid w:val="00BA7172"/>
    <w:pPr>
      <w:widowControl w:val="0"/>
      <w:kinsoku w:val="0"/>
      <w:overflowPunct w:val="0"/>
      <w:autoSpaceDE w:val="0"/>
      <w:autoSpaceDN w:val="0"/>
      <w:adjustRightInd w:val="0"/>
      <w:snapToGrid w:val="0"/>
      <w:spacing w:before="120" w:after="120"/>
      <w:jc w:val="both"/>
    </w:pPr>
    <w:rPr>
      <w:rFonts w:eastAsia="Batang"/>
      <w:b/>
      <w:kern w:val="2"/>
      <w:szCs w:val="22"/>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widowControl w:val="0"/>
      <w:kinsoku w:val="0"/>
      <w:overflowPunct w:val="0"/>
      <w:autoSpaceDE w:val="0"/>
      <w:autoSpaceDN w:val="0"/>
      <w:adjustRightInd w:val="0"/>
      <w:snapToGrid w:val="0"/>
      <w:spacing w:after="0"/>
      <w:jc w:val="both"/>
    </w:pPr>
    <w:rPr>
      <w:rFonts w:eastAsia="Batang"/>
      <w:kern w:val="2"/>
      <w:szCs w:val="22"/>
      <w:lang w:eastAsia="ko-KR"/>
    </w:rPr>
  </w:style>
  <w:style w:type="paragraph" w:styleId="DocumentMap">
    <w:name w:val="Document Map"/>
    <w:basedOn w:val="Normal"/>
    <w:link w:val="DocumentMapChar"/>
    <w:rsid w:val="00BA7172"/>
    <w:pPr>
      <w:widowControl w:val="0"/>
      <w:shd w:val="clear" w:color="auto" w:fill="000080"/>
      <w:kinsoku w:val="0"/>
      <w:overflowPunct w:val="0"/>
      <w:autoSpaceDE w:val="0"/>
      <w:autoSpaceDN w:val="0"/>
      <w:adjustRightInd w:val="0"/>
      <w:snapToGrid w:val="0"/>
      <w:spacing w:after="60"/>
      <w:jc w:val="both"/>
    </w:pPr>
    <w:rPr>
      <w:rFonts w:ascii="Tahoma" w:eastAsia="Batang" w:hAnsi="Tahoma" w:cs="Tahoma"/>
      <w:kern w:val="2"/>
      <w:szCs w:val="22"/>
      <w:lang w:eastAsia="ko-KR"/>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widowControl w:val="0"/>
      <w:kinsoku w:val="0"/>
      <w:overflowPunct w:val="0"/>
      <w:autoSpaceDE w:val="0"/>
      <w:autoSpaceDN w:val="0"/>
      <w:adjustRightInd w:val="0"/>
      <w:snapToGrid w:val="0"/>
      <w:spacing w:after="0"/>
      <w:ind w:left="454" w:hanging="454"/>
      <w:jc w:val="both"/>
    </w:pPr>
    <w:rPr>
      <w:rFonts w:eastAsia="Batang"/>
      <w:kern w:val="2"/>
      <w:sz w:val="16"/>
      <w:szCs w:val="22"/>
      <w:lang w:eastAsia="ko-KR"/>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widowControl w:val="0"/>
      <w:tabs>
        <w:tab w:val="center" w:pos="4536"/>
        <w:tab w:val="right" w:pos="9072"/>
      </w:tabs>
      <w:kinsoku w:val="0"/>
      <w:overflowPunct w:val="0"/>
      <w:autoSpaceDE w:val="0"/>
      <w:autoSpaceDN w:val="0"/>
      <w:adjustRightInd w:val="0"/>
      <w:snapToGrid w:val="0"/>
      <w:spacing w:after="60"/>
      <w:jc w:val="both"/>
    </w:pPr>
    <w:rPr>
      <w:rFonts w:eastAsia="Batang"/>
      <w:noProof/>
      <w:kern w:val="2"/>
      <w:szCs w:val="22"/>
      <w:lang w:eastAsia="ko-KR"/>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widowControl w:val="0"/>
      <w:kinsoku w:val="0"/>
      <w:overflowPunct w:val="0"/>
      <w:autoSpaceDE w:val="0"/>
      <w:autoSpaceDN w:val="0"/>
      <w:adjustRightInd w:val="0"/>
      <w:snapToGrid w:val="0"/>
      <w:spacing w:after="0"/>
      <w:jc w:val="both"/>
    </w:pPr>
    <w:rPr>
      <w:rFonts w:ascii="Segoe UI" w:eastAsia="Batang" w:hAnsi="Segoe UI" w:cs="Segoe UI"/>
      <w:kern w:val="2"/>
      <w:sz w:val="18"/>
      <w:szCs w:val="18"/>
      <w:lang w:eastAsia="ko-KR"/>
    </w:rPr>
  </w:style>
  <w:style w:type="character" w:styleId="PageNumber">
    <w:name w:val="page number"/>
    <w:basedOn w:val="DefaultParagraphFont"/>
    <w:rsid w:val="00BA7172"/>
  </w:style>
  <w:style w:type="paragraph" w:styleId="BodyText">
    <w:name w:val="Body Text"/>
    <w:basedOn w:val="Normal"/>
    <w:link w:val="BodyTextChar"/>
    <w:rsid w:val="00BA7172"/>
    <w:pPr>
      <w:widowControl w:val="0"/>
      <w:kinsoku w:val="0"/>
      <w:overflowPunct w:val="0"/>
      <w:autoSpaceDE w:val="0"/>
      <w:autoSpaceDN w:val="0"/>
      <w:adjustRightInd w:val="0"/>
      <w:snapToGrid w:val="0"/>
      <w:spacing w:after="120"/>
      <w:jc w:val="both"/>
    </w:pPr>
    <w:rPr>
      <w:rFonts w:ascii="Arial" w:eastAsia="Batang" w:hAnsi="Arial"/>
      <w:kern w:val="2"/>
      <w:szCs w:val="22"/>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pPr>
      <w:widowControl w:val="0"/>
      <w:kinsoku w:val="0"/>
      <w:overflowPunct w:val="0"/>
      <w:autoSpaceDE w:val="0"/>
      <w:autoSpaceDN w:val="0"/>
      <w:adjustRightInd w:val="0"/>
      <w:snapToGrid w:val="0"/>
      <w:spacing w:after="60"/>
      <w:jc w:val="both"/>
    </w:pPr>
    <w:rPr>
      <w:rFonts w:eastAsia="Batang"/>
      <w:kern w:val="2"/>
      <w:szCs w:val="22"/>
      <w:lang w:eastAsia="ko-KR"/>
    </w:rPr>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widowControl w:val="0"/>
      <w:kinsoku w:val="0"/>
      <w:overflowPunct w:val="0"/>
      <w:autoSpaceDE w:val="0"/>
      <w:autoSpaceDN w:val="0"/>
      <w:adjustRightInd w:val="0"/>
      <w:snapToGrid w:val="0"/>
      <w:spacing w:after="60"/>
      <w:ind w:left="1702" w:hanging="1418"/>
      <w:jc w:val="both"/>
    </w:pPr>
    <w:rPr>
      <w:rFonts w:eastAsia="Batang"/>
      <w:kern w:val="2"/>
      <w:szCs w:val="22"/>
      <w:lang w:eastAsia="ko-KR"/>
    </w:r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widowControl w:val="0"/>
      <w:kinsoku w:val="0"/>
      <w:overflowPunct w:val="0"/>
      <w:autoSpaceDE w:val="0"/>
      <w:autoSpaceDN w:val="0"/>
      <w:adjustRightInd w:val="0"/>
      <w:snapToGrid w:val="0"/>
      <w:spacing w:after="0"/>
      <w:jc w:val="both"/>
    </w:pPr>
    <w:rPr>
      <w:rFonts w:ascii="Arial" w:eastAsia="Batang" w:hAnsi="Arial"/>
      <w:kern w:val="2"/>
      <w:sz w:val="18"/>
      <w:szCs w:val="22"/>
      <w:lang w:val="x-none" w:eastAsia="x-none"/>
    </w:rPr>
  </w:style>
  <w:style w:type="paragraph" w:customStyle="1" w:styleId="TAC">
    <w:name w:val="TAC"/>
    <w:basedOn w:val="TAL"/>
    <w:link w:val="TACChar"/>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widowControl w:val="0"/>
      <w:kinsoku w:val="0"/>
      <w:overflowPunct w:val="0"/>
      <w:autoSpaceDE w:val="0"/>
      <w:autoSpaceDN w:val="0"/>
      <w:adjustRightInd w:val="0"/>
      <w:snapToGrid w:val="0"/>
      <w:spacing w:before="60" w:after="60"/>
      <w:jc w:val="center"/>
    </w:pPr>
    <w:rPr>
      <w:rFonts w:ascii="Arial" w:eastAsia="Batang" w:hAnsi="Arial"/>
      <w:b/>
      <w:kern w:val="2"/>
      <w:szCs w:val="22"/>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widowControl w:val="0"/>
      <w:kinsoku w:val="0"/>
      <w:overflowPunct w:val="0"/>
      <w:autoSpaceDE w:val="0"/>
      <w:autoSpaceDN w:val="0"/>
      <w:adjustRightInd w:val="0"/>
      <w:snapToGrid w:val="0"/>
      <w:spacing w:after="0"/>
      <w:jc w:val="both"/>
    </w:pPr>
    <w:rPr>
      <w:rFonts w:eastAsia="Batang"/>
      <w:kern w:val="2"/>
      <w:szCs w:val="22"/>
      <w:lang w:eastAsia="ko-KR"/>
    </w:r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widowControl w:val="0"/>
      <w:tabs>
        <w:tab w:val="left" w:pos="1622"/>
      </w:tabs>
      <w:kinsoku w:val="0"/>
      <w:overflowPunct w:val="0"/>
      <w:autoSpaceDE w:val="0"/>
      <w:autoSpaceDN w:val="0"/>
      <w:adjustRightInd w:val="0"/>
      <w:snapToGrid w:val="0"/>
      <w:spacing w:after="0"/>
      <w:ind w:left="1622" w:hanging="363"/>
      <w:jc w:val="both"/>
    </w:pPr>
    <w:rPr>
      <w:rFonts w:ascii="Arial" w:eastAsia="MS Mincho" w:hAnsi="Arial"/>
      <w:kern w:val="2"/>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widowControl w:val="0"/>
      <w:kinsoku w:val="0"/>
      <w:overflowPunct w:val="0"/>
      <w:autoSpaceDE w:val="0"/>
      <w:autoSpaceDN w:val="0"/>
      <w:adjustRightInd w:val="0"/>
      <w:snapToGrid w:val="0"/>
      <w:spacing w:after="60"/>
      <w:ind w:left="1135" w:hanging="851"/>
      <w:jc w:val="both"/>
    </w:pPr>
    <w:rPr>
      <w:rFonts w:eastAsia="Batang"/>
      <w:kern w:val="2"/>
      <w:szCs w:val="22"/>
      <w:lang w:eastAsia="ko-KR"/>
    </w:r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widowControl w:val="0"/>
      <w:numPr>
        <w:numId w:val="5"/>
      </w:numPr>
      <w:kinsoku w:val="0"/>
      <w:overflowPunct w:val="0"/>
      <w:autoSpaceDE w:val="0"/>
      <w:autoSpaceDN w:val="0"/>
      <w:adjustRightInd w:val="0"/>
      <w:snapToGrid w:val="0"/>
      <w:spacing w:before="40" w:after="0"/>
      <w:jc w:val="both"/>
    </w:pPr>
    <w:rPr>
      <w:rFonts w:ascii="Arial" w:eastAsia="MS Mincho" w:hAnsi="Arial"/>
      <w:b/>
      <w:kern w:val="2"/>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widowControl w:val="0"/>
      <w:tabs>
        <w:tab w:val="left" w:pos="794"/>
        <w:tab w:val="left" w:pos="1191"/>
        <w:tab w:val="left" w:pos="1588"/>
        <w:tab w:val="left" w:pos="1985"/>
      </w:tabs>
      <w:kinsoku w:val="0"/>
      <w:overflowPunct w:val="0"/>
      <w:autoSpaceDE w:val="0"/>
      <w:autoSpaceDN w:val="0"/>
      <w:adjustRightInd w:val="0"/>
      <w:snapToGrid w:val="0"/>
      <w:spacing w:before="120" w:after="480"/>
      <w:jc w:val="center"/>
    </w:pPr>
    <w:rPr>
      <w:rFonts w:eastAsia="Batang"/>
      <w:b/>
      <w:kern w:val="2"/>
      <w:sz w:val="24"/>
      <w:szCs w:val="22"/>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pPr>
      <w:widowControl w:val="0"/>
      <w:kinsoku w:val="0"/>
      <w:overflowPunct w:val="0"/>
      <w:autoSpaceDE w:val="0"/>
      <w:autoSpaceDN w:val="0"/>
      <w:adjustRightInd w:val="0"/>
      <w:snapToGrid w:val="0"/>
      <w:spacing w:after="60"/>
      <w:jc w:val="both"/>
    </w:pPr>
    <w:rPr>
      <w:rFonts w:eastAsia="Batang"/>
      <w:i/>
      <w:color w:val="0000FF"/>
      <w:kern w:val="2"/>
      <w:szCs w:val="22"/>
      <w:lang w:eastAsia="ko-KR"/>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widowControl w:val="0"/>
      <w:pBdr>
        <w:top w:val="single" w:sz="12" w:space="0" w:color="auto"/>
      </w:pBdr>
      <w:kinsoku w:val="0"/>
      <w:overflowPunct w:val="0"/>
      <w:autoSpaceDE w:val="0"/>
      <w:autoSpaceDN w:val="0"/>
      <w:adjustRightInd w:val="0"/>
      <w:snapToGrid w:val="0"/>
      <w:spacing w:before="360" w:after="240"/>
      <w:jc w:val="both"/>
    </w:pPr>
    <w:rPr>
      <w:rFonts w:eastAsia="Batang"/>
      <w:b/>
      <w:i/>
      <w:kern w:val="2"/>
      <w:sz w:val="26"/>
      <w:szCs w:val="22"/>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BA7172"/>
    <w:pPr>
      <w:widowControl w:val="0"/>
      <w:kinsoku w:val="0"/>
      <w:overflowPunct w:val="0"/>
      <w:autoSpaceDE w:val="0"/>
      <w:autoSpaceDN w:val="0"/>
      <w:adjustRightInd w:val="0"/>
      <w:snapToGrid w:val="0"/>
      <w:spacing w:after="0"/>
      <w:ind w:left="720"/>
      <w:jc w:val="both"/>
    </w:pPr>
    <w:rPr>
      <w:rFonts w:ascii="Calibri" w:eastAsia="Calibri" w:hAnsi="Calibri"/>
      <w:kern w:val="2"/>
      <w:sz w:val="22"/>
      <w:szCs w:val="22"/>
      <w:lang w:val="x-none"/>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BA7172"/>
    <w:pPr>
      <w:widowControl w:val="0"/>
      <w:kinsoku w:val="0"/>
      <w:overflowPunct w:val="0"/>
      <w:autoSpaceDE w:val="0"/>
      <w:autoSpaceDN w:val="0"/>
      <w:adjustRightInd w:val="0"/>
      <w:snapToGrid w:val="0"/>
      <w:spacing w:after="60"/>
      <w:jc w:val="both"/>
    </w:pPr>
    <w:rPr>
      <w:rFonts w:ascii="Courier New" w:eastAsia="Batang" w:hAnsi="Courier New"/>
      <w:kern w:val="2"/>
      <w:szCs w:val="22"/>
      <w:lang w:val="nb-NO" w:eastAsia="ko-KR"/>
    </w:rPr>
  </w:style>
  <w:style w:type="character" w:customStyle="1" w:styleId="PlainTextChar">
    <w:name w:val="Plain Text Char"/>
    <w:link w:val="PlainText"/>
    <w:uiPriority w:val="99"/>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widowControl w:val="0"/>
      <w:kinsoku w:val="0"/>
      <w:overflowPunct w:val="0"/>
      <w:autoSpaceDE w:val="0"/>
      <w:autoSpaceDN w:val="0"/>
      <w:adjustRightInd w:val="0"/>
      <w:snapToGrid w:val="0"/>
      <w:spacing w:after="0"/>
      <w:jc w:val="both"/>
    </w:pPr>
    <w:rPr>
      <w:rFonts w:ascii="Arial" w:eastAsia="Malgun Gothic" w:hAnsi="Arial"/>
      <w:kern w:val="2"/>
      <w:sz w:val="18"/>
      <w:szCs w:val="22"/>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widowControl w:val="0"/>
      <w:kinsoku w:val="0"/>
      <w:overflowPunct w:val="0"/>
      <w:autoSpaceDE w:val="0"/>
      <w:autoSpaceDN w:val="0"/>
      <w:adjustRightInd w:val="0"/>
      <w:snapToGrid w:val="0"/>
      <w:spacing w:after="120"/>
      <w:ind w:left="283"/>
      <w:contextualSpacing/>
      <w:jc w:val="both"/>
    </w:pPr>
    <w:rPr>
      <w:rFonts w:ascii="Arial" w:eastAsia="Batang" w:hAnsi="Arial"/>
      <w:kern w:val="2"/>
      <w:szCs w:val="22"/>
      <w:lang w:eastAsia="ko-KR"/>
    </w:rPr>
  </w:style>
  <w:style w:type="paragraph" w:styleId="ListContinue2">
    <w:name w:val="List Continue 2"/>
    <w:basedOn w:val="Normal"/>
    <w:rsid w:val="00BA7172"/>
    <w:pPr>
      <w:widowControl w:val="0"/>
      <w:kinsoku w:val="0"/>
      <w:overflowPunct w:val="0"/>
      <w:autoSpaceDE w:val="0"/>
      <w:autoSpaceDN w:val="0"/>
      <w:adjustRightInd w:val="0"/>
      <w:snapToGrid w:val="0"/>
      <w:spacing w:after="120"/>
      <w:ind w:left="566"/>
      <w:contextualSpacing/>
      <w:jc w:val="both"/>
    </w:pPr>
    <w:rPr>
      <w:rFonts w:ascii="Arial" w:eastAsia="Batang" w:hAnsi="Arial"/>
      <w:kern w:val="2"/>
      <w:szCs w:val="22"/>
      <w:lang w:eastAsia="ko-KR"/>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Revision">
    <w:name w:val="Revision"/>
    <w:hidden/>
    <w:uiPriority w:val="99"/>
    <w:semiHidden/>
    <w:rsid w:val="00B40F70"/>
    <w:rPr>
      <w:rFonts w:ascii="Times New Roman" w:hAnsi="Times New Roman"/>
      <w:lang w:eastAsia="ja-JP"/>
    </w:rPr>
  </w:style>
  <w:style w:type="paragraph" w:styleId="Subtitle">
    <w:name w:val="Subtitle"/>
    <w:basedOn w:val="Normal"/>
    <w:next w:val="Normal"/>
    <w:link w:val="SubtitleChar"/>
    <w:qFormat/>
    <w:rsid w:val="00F62332"/>
    <w:pPr>
      <w:widowControl w:val="0"/>
      <w:numPr>
        <w:ilvl w:val="1"/>
      </w:numPr>
      <w:kinsoku w:val="0"/>
      <w:overflowPunct w:val="0"/>
      <w:autoSpaceDE w:val="0"/>
      <w:autoSpaceDN w:val="0"/>
      <w:adjustRightInd w:val="0"/>
      <w:snapToGrid w:val="0"/>
      <w:spacing w:after="160"/>
      <w:jc w:val="both"/>
    </w:pPr>
    <w:rPr>
      <w:rFonts w:asciiTheme="minorHAnsi" w:eastAsiaTheme="minorEastAsia" w:hAnsiTheme="minorHAnsi" w:cstheme="minorBidi"/>
      <w:color w:val="5A5A5A" w:themeColor="text1" w:themeTint="A5"/>
      <w:spacing w:val="15"/>
      <w:kern w:val="2"/>
      <w:sz w:val="22"/>
      <w:szCs w:val="22"/>
      <w:lang w:eastAsia="ko-KR"/>
    </w:rPr>
  </w:style>
  <w:style w:type="character" w:customStyle="1" w:styleId="SubtitleChar">
    <w:name w:val="Subtitle Char"/>
    <w:basedOn w:val="DefaultParagraphFont"/>
    <w:link w:val="Subtitle"/>
    <w:rsid w:val="00F62332"/>
    <w:rPr>
      <w:rFonts w:asciiTheme="minorHAnsi" w:eastAsiaTheme="minorEastAsia" w:hAnsiTheme="minorHAnsi" w:cstheme="minorBidi"/>
      <w:color w:val="5A5A5A" w:themeColor="text1" w:themeTint="A5"/>
      <w:spacing w:val="15"/>
      <w:sz w:val="22"/>
      <w:szCs w:val="22"/>
      <w:lang w:eastAsia="ja-JP"/>
    </w:rPr>
  </w:style>
  <w:style w:type="paragraph" w:styleId="NoSpacing">
    <w:name w:val="No Spacing"/>
    <w:uiPriority w:val="1"/>
    <w:qFormat/>
    <w:rsid w:val="00F62332"/>
    <w:pPr>
      <w:overflowPunct w:val="0"/>
      <w:autoSpaceDE w:val="0"/>
      <w:autoSpaceDN w:val="0"/>
      <w:adjustRightInd w:val="0"/>
      <w:textAlignment w:val="baseline"/>
    </w:pPr>
    <w:rPr>
      <w:rFonts w:ascii="Times New Roman" w:hAnsi="Times New Roman"/>
      <w:lang w:eastAsia="ja-JP"/>
    </w:rPr>
  </w:style>
  <w:style w:type="character" w:customStyle="1" w:styleId="TACChar">
    <w:name w:val="TAC Char"/>
    <w:link w:val="TAC"/>
    <w:locked/>
    <w:rsid w:val="00115913"/>
    <w:rPr>
      <w:rFonts w:ascii="Arial" w:eastAsia="Batang" w:hAnsi="Arial"/>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4928">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287248772">
      <w:bodyDiv w:val="1"/>
      <w:marLeft w:val="0"/>
      <w:marRight w:val="0"/>
      <w:marTop w:val="0"/>
      <w:marBottom w:val="0"/>
      <w:divBdr>
        <w:top w:val="none" w:sz="0" w:space="0" w:color="auto"/>
        <w:left w:val="none" w:sz="0" w:space="0" w:color="auto"/>
        <w:bottom w:val="none" w:sz="0" w:space="0" w:color="auto"/>
        <w:right w:val="none" w:sz="0" w:space="0" w:color="auto"/>
      </w:divBdr>
      <w:divsChild>
        <w:div w:id="913851794">
          <w:marLeft w:val="835"/>
          <w:marRight w:val="0"/>
          <w:marTop w:val="86"/>
          <w:marBottom w:val="0"/>
          <w:divBdr>
            <w:top w:val="none" w:sz="0" w:space="0" w:color="auto"/>
            <w:left w:val="none" w:sz="0" w:space="0" w:color="auto"/>
            <w:bottom w:val="none" w:sz="0" w:space="0" w:color="auto"/>
            <w:right w:val="none" w:sz="0" w:space="0" w:color="auto"/>
          </w:divBdr>
        </w:div>
        <w:div w:id="1789544293">
          <w:marLeft w:val="274"/>
          <w:marRight w:val="0"/>
          <w:marTop w:val="96"/>
          <w:marBottom w:val="0"/>
          <w:divBdr>
            <w:top w:val="none" w:sz="0" w:space="0" w:color="auto"/>
            <w:left w:val="none" w:sz="0" w:space="0" w:color="auto"/>
            <w:bottom w:val="none" w:sz="0" w:space="0" w:color="auto"/>
            <w:right w:val="none" w:sz="0" w:space="0" w:color="auto"/>
          </w:divBdr>
        </w:div>
      </w:divsChild>
    </w:div>
    <w:div w:id="409304356">
      <w:bodyDiv w:val="1"/>
      <w:marLeft w:val="0"/>
      <w:marRight w:val="0"/>
      <w:marTop w:val="0"/>
      <w:marBottom w:val="0"/>
      <w:divBdr>
        <w:top w:val="none" w:sz="0" w:space="0" w:color="auto"/>
        <w:left w:val="none" w:sz="0" w:space="0" w:color="auto"/>
        <w:bottom w:val="none" w:sz="0" w:space="0" w:color="auto"/>
        <w:right w:val="none" w:sz="0" w:space="0" w:color="auto"/>
      </w:divBdr>
      <w:divsChild>
        <w:div w:id="1807313531">
          <w:marLeft w:val="274"/>
          <w:marRight w:val="0"/>
          <w:marTop w:val="96"/>
          <w:marBottom w:val="0"/>
          <w:divBdr>
            <w:top w:val="none" w:sz="0" w:space="0" w:color="auto"/>
            <w:left w:val="none" w:sz="0" w:space="0" w:color="auto"/>
            <w:bottom w:val="none" w:sz="0" w:space="0" w:color="auto"/>
            <w:right w:val="none" w:sz="0" w:space="0" w:color="auto"/>
          </w:divBdr>
        </w:div>
      </w:divsChild>
    </w:div>
    <w:div w:id="585191222">
      <w:bodyDiv w:val="1"/>
      <w:marLeft w:val="0"/>
      <w:marRight w:val="0"/>
      <w:marTop w:val="0"/>
      <w:marBottom w:val="0"/>
      <w:divBdr>
        <w:top w:val="none" w:sz="0" w:space="0" w:color="auto"/>
        <w:left w:val="none" w:sz="0" w:space="0" w:color="auto"/>
        <w:bottom w:val="none" w:sz="0" w:space="0" w:color="auto"/>
        <w:right w:val="none" w:sz="0" w:space="0" w:color="auto"/>
      </w:divBdr>
    </w:div>
    <w:div w:id="604505828">
      <w:bodyDiv w:val="1"/>
      <w:marLeft w:val="0"/>
      <w:marRight w:val="0"/>
      <w:marTop w:val="0"/>
      <w:marBottom w:val="0"/>
      <w:divBdr>
        <w:top w:val="none" w:sz="0" w:space="0" w:color="auto"/>
        <w:left w:val="none" w:sz="0" w:space="0" w:color="auto"/>
        <w:bottom w:val="none" w:sz="0" w:space="0" w:color="auto"/>
        <w:right w:val="none" w:sz="0" w:space="0" w:color="auto"/>
      </w:divBdr>
    </w:div>
    <w:div w:id="670716644">
      <w:bodyDiv w:val="1"/>
      <w:marLeft w:val="0"/>
      <w:marRight w:val="0"/>
      <w:marTop w:val="0"/>
      <w:marBottom w:val="0"/>
      <w:divBdr>
        <w:top w:val="none" w:sz="0" w:space="0" w:color="auto"/>
        <w:left w:val="none" w:sz="0" w:space="0" w:color="auto"/>
        <w:bottom w:val="none" w:sz="0" w:space="0" w:color="auto"/>
        <w:right w:val="none" w:sz="0" w:space="0" w:color="auto"/>
      </w:divBdr>
    </w:div>
    <w:div w:id="713701794">
      <w:bodyDiv w:val="1"/>
      <w:marLeft w:val="0"/>
      <w:marRight w:val="0"/>
      <w:marTop w:val="0"/>
      <w:marBottom w:val="0"/>
      <w:divBdr>
        <w:top w:val="none" w:sz="0" w:space="0" w:color="auto"/>
        <w:left w:val="none" w:sz="0" w:space="0" w:color="auto"/>
        <w:bottom w:val="none" w:sz="0" w:space="0" w:color="auto"/>
        <w:right w:val="none" w:sz="0" w:space="0" w:color="auto"/>
      </w:divBdr>
    </w:div>
    <w:div w:id="737434947">
      <w:bodyDiv w:val="1"/>
      <w:marLeft w:val="0"/>
      <w:marRight w:val="0"/>
      <w:marTop w:val="0"/>
      <w:marBottom w:val="0"/>
      <w:divBdr>
        <w:top w:val="none" w:sz="0" w:space="0" w:color="auto"/>
        <w:left w:val="none" w:sz="0" w:space="0" w:color="auto"/>
        <w:bottom w:val="none" w:sz="0" w:space="0" w:color="auto"/>
        <w:right w:val="none" w:sz="0" w:space="0" w:color="auto"/>
      </w:divBdr>
    </w:div>
    <w:div w:id="749424683">
      <w:bodyDiv w:val="1"/>
      <w:marLeft w:val="0"/>
      <w:marRight w:val="0"/>
      <w:marTop w:val="0"/>
      <w:marBottom w:val="0"/>
      <w:divBdr>
        <w:top w:val="none" w:sz="0" w:space="0" w:color="auto"/>
        <w:left w:val="none" w:sz="0" w:space="0" w:color="auto"/>
        <w:bottom w:val="none" w:sz="0" w:space="0" w:color="auto"/>
        <w:right w:val="none" w:sz="0" w:space="0" w:color="auto"/>
      </w:divBdr>
    </w:div>
    <w:div w:id="973025184">
      <w:bodyDiv w:val="1"/>
      <w:marLeft w:val="0"/>
      <w:marRight w:val="0"/>
      <w:marTop w:val="0"/>
      <w:marBottom w:val="0"/>
      <w:divBdr>
        <w:top w:val="none" w:sz="0" w:space="0" w:color="auto"/>
        <w:left w:val="none" w:sz="0" w:space="0" w:color="auto"/>
        <w:bottom w:val="none" w:sz="0" w:space="0" w:color="auto"/>
        <w:right w:val="none" w:sz="0" w:space="0" w:color="auto"/>
      </w:divBdr>
      <w:divsChild>
        <w:div w:id="1531795977">
          <w:marLeft w:val="274"/>
          <w:marRight w:val="0"/>
          <w:marTop w:val="96"/>
          <w:marBottom w:val="0"/>
          <w:divBdr>
            <w:top w:val="none" w:sz="0" w:space="0" w:color="auto"/>
            <w:left w:val="none" w:sz="0" w:space="0" w:color="auto"/>
            <w:bottom w:val="none" w:sz="0" w:space="0" w:color="auto"/>
            <w:right w:val="none" w:sz="0" w:space="0" w:color="auto"/>
          </w:divBdr>
        </w:div>
      </w:divsChild>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80777080">
      <w:bodyDiv w:val="1"/>
      <w:marLeft w:val="0"/>
      <w:marRight w:val="0"/>
      <w:marTop w:val="0"/>
      <w:marBottom w:val="0"/>
      <w:divBdr>
        <w:top w:val="none" w:sz="0" w:space="0" w:color="auto"/>
        <w:left w:val="none" w:sz="0" w:space="0" w:color="auto"/>
        <w:bottom w:val="none" w:sz="0" w:space="0" w:color="auto"/>
        <w:right w:val="none" w:sz="0" w:space="0" w:color="auto"/>
      </w:divBdr>
    </w:div>
    <w:div w:id="1225944260">
      <w:bodyDiv w:val="1"/>
      <w:marLeft w:val="0"/>
      <w:marRight w:val="0"/>
      <w:marTop w:val="0"/>
      <w:marBottom w:val="0"/>
      <w:divBdr>
        <w:top w:val="none" w:sz="0" w:space="0" w:color="auto"/>
        <w:left w:val="none" w:sz="0" w:space="0" w:color="auto"/>
        <w:bottom w:val="none" w:sz="0" w:space="0" w:color="auto"/>
        <w:right w:val="none" w:sz="0" w:space="0" w:color="auto"/>
      </w:divBdr>
    </w:div>
    <w:div w:id="1241403638">
      <w:bodyDiv w:val="1"/>
      <w:marLeft w:val="0"/>
      <w:marRight w:val="0"/>
      <w:marTop w:val="0"/>
      <w:marBottom w:val="0"/>
      <w:divBdr>
        <w:top w:val="none" w:sz="0" w:space="0" w:color="auto"/>
        <w:left w:val="none" w:sz="0" w:space="0" w:color="auto"/>
        <w:bottom w:val="none" w:sz="0" w:space="0" w:color="auto"/>
        <w:right w:val="none" w:sz="0" w:space="0" w:color="auto"/>
      </w:divBdr>
    </w:div>
    <w:div w:id="1399473949">
      <w:bodyDiv w:val="1"/>
      <w:marLeft w:val="0"/>
      <w:marRight w:val="0"/>
      <w:marTop w:val="0"/>
      <w:marBottom w:val="0"/>
      <w:divBdr>
        <w:top w:val="none" w:sz="0" w:space="0" w:color="auto"/>
        <w:left w:val="none" w:sz="0" w:space="0" w:color="auto"/>
        <w:bottom w:val="none" w:sz="0" w:space="0" w:color="auto"/>
        <w:right w:val="none" w:sz="0" w:space="0" w:color="auto"/>
      </w:divBdr>
    </w:div>
    <w:div w:id="1414163116">
      <w:bodyDiv w:val="1"/>
      <w:marLeft w:val="0"/>
      <w:marRight w:val="0"/>
      <w:marTop w:val="0"/>
      <w:marBottom w:val="0"/>
      <w:divBdr>
        <w:top w:val="none" w:sz="0" w:space="0" w:color="auto"/>
        <w:left w:val="none" w:sz="0" w:space="0" w:color="auto"/>
        <w:bottom w:val="none" w:sz="0" w:space="0" w:color="auto"/>
        <w:right w:val="none" w:sz="0" w:space="0" w:color="auto"/>
      </w:divBdr>
    </w:div>
    <w:div w:id="1582060902">
      <w:bodyDiv w:val="1"/>
      <w:marLeft w:val="0"/>
      <w:marRight w:val="0"/>
      <w:marTop w:val="0"/>
      <w:marBottom w:val="0"/>
      <w:divBdr>
        <w:top w:val="none" w:sz="0" w:space="0" w:color="auto"/>
        <w:left w:val="none" w:sz="0" w:space="0" w:color="auto"/>
        <w:bottom w:val="none" w:sz="0" w:space="0" w:color="auto"/>
        <w:right w:val="none" w:sz="0" w:space="0" w:color="auto"/>
      </w:divBdr>
    </w:div>
    <w:div w:id="1718161490">
      <w:bodyDiv w:val="1"/>
      <w:marLeft w:val="0"/>
      <w:marRight w:val="0"/>
      <w:marTop w:val="0"/>
      <w:marBottom w:val="0"/>
      <w:divBdr>
        <w:top w:val="none" w:sz="0" w:space="0" w:color="auto"/>
        <w:left w:val="none" w:sz="0" w:space="0" w:color="auto"/>
        <w:bottom w:val="none" w:sz="0" w:space="0" w:color="auto"/>
        <w:right w:val="none" w:sz="0" w:space="0" w:color="auto"/>
      </w:divBdr>
    </w:div>
    <w:div w:id="1898130339">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24042556">
      <w:bodyDiv w:val="1"/>
      <w:marLeft w:val="0"/>
      <w:marRight w:val="0"/>
      <w:marTop w:val="0"/>
      <w:marBottom w:val="0"/>
      <w:divBdr>
        <w:top w:val="none" w:sz="0" w:space="0" w:color="auto"/>
        <w:left w:val="none" w:sz="0" w:space="0" w:color="auto"/>
        <w:bottom w:val="none" w:sz="0" w:space="0" w:color="auto"/>
        <w:right w:val="none" w:sz="0" w:space="0" w:color="auto"/>
      </w:divBdr>
      <w:divsChild>
        <w:div w:id="1049306608">
          <w:marLeft w:val="835"/>
          <w:marRight w:val="0"/>
          <w:marTop w:val="77"/>
          <w:marBottom w:val="0"/>
          <w:divBdr>
            <w:top w:val="none" w:sz="0" w:space="0" w:color="auto"/>
            <w:left w:val="none" w:sz="0" w:space="0" w:color="auto"/>
            <w:bottom w:val="none" w:sz="0" w:space="0" w:color="auto"/>
            <w:right w:val="none" w:sz="0" w:space="0" w:color="auto"/>
          </w:divBdr>
        </w:div>
        <w:div w:id="1313094104">
          <w:marLeft w:val="835"/>
          <w:marRight w:val="0"/>
          <w:marTop w:val="77"/>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5NUHHDQN7SK2-1476151046-41817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https://ericsson.sharepoint.com/sites/star/_layouts/15/DocIdRedir.aspx?ID=5NUHHDQN7SK2-1476151046-41817</Url>
      <Description>5NUHHDQN7SK2-1476151046-41817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A031D054-D689-43D4-998B-D7B1069E920D}">
  <ds:schemaRefs>
    <ds:schemaRef ds:uri="http://schemas.openxmlformats.org/officeDocument/2006/bibliography"/>
  </ds:schemaRefs>
</ds:datastoreItem>
</file>

<file path=customXml/itemProps2.xml><?xml version="1.0" encoding="utf-8"?>
<ds:datastoreItem xmlns:ds="http://schemas.openxmlformats.org/officeDocument/2006/customXml" ds:itemID="{1F620938-0EBB-4C54-8265-43D472D82523}"/>
</file>

<file path=customXml/itemProps3.xml><?xml version="1.0" encoding="utf-8"?>
<ds:datastoreItem xmlns:ds="http://schemas.openxmlformats.org/officeDocument/2006/customXml" ds:itemID="{57C4AA26-EDA4-4113-BA22-B94ECDDB3196}"/>
</file>

<file path=customXml/itemProps4.xml><?xml version="1.0" encoding="utf-8"?>
<ds:datastoreItem xmlns:ds="http://schemas.openxmlformats.org/officeDocument/2006/customXml" ds:itemID="{9D66667F-8FC5-4497-8D51-08DD937367D3}"/>
</file>

<file path=customXml/itemProps5.xml><?xml version="1.0" encoding="utf-8"?>
<ds:datastoreItem xmlns:ds="http://schemas.openxmlformats.org/officeDocument/2006/customXml" ds:itemID="{8244B48B-0FF4-489D-8EA5-3D5605443DFA}"/>
</file>

<file path=customXml/itemProps6.xml><?xml version="1.0" encoding="utf-8"?>
<ds:datastoreItem xmlns:ds="http://schemas.openxmlformats.org/officeDocument/2006/customXml" ds:itemID="{367DCDE1-0D5B-470A-A86A-AA2959807828}"/>
</file>

<file path=docProps/app.xml><?xml version="1.0" encoding="utf-8"?>
<Properties xmlns="http://schemas.openxmlformats.org/officeDocument/2006/extended-properties" xmlns:vt="http://schemas.openxmlformats.org/officeDocument/2006/docPropsVTypes">
  <Template>Normal</Template>
  <TotalTime>0</TotalTime>
  <Pages>6</Pages>
  <Words>2573</Words>
  <Characters>13398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15940</CharactersWithSpaces>
  <SharedDoc>false</SharedDoc>
  <HLinks>
    <vt:vector size="54" baseType="variant">
      <vt:variant>
        <vt:i4>1114161</vt:i4>
      </vt:variant>
      <vt:variant>
        <vt:i4>44</vt:i4>
      </vt:variant>
      <vt:variant>
        <vt:i4>0</vt:i4>
      </vt:variant>
      <vt:variant>
        <vt:i4>5</vt:i4>
      </vt:variant>
      <vt:variant>
        <vt:lpwstr/>
      </vt:variant>
      <vt:variant>
        <vt:lpwstr>_Toc528684468</vt:lpwstr>
      </vt:variant>
      <vt:variant>
        <vt:i4>1114161</vt:i4>
      </vt:variant>
      <vt:variant>
        <vt:i4>41</vt:i4>
      </vt:variant>
      <vt:variant>
        <vt:i4>0</vt:i4>
      </vt:variant>
      <vt:variant>
        <vt:i4>5</vt:i4>
      </vt:variant>
      <vt:variant>
        <vt:lpwstr/>
      </vt:variant>
      <vt:variant>
        <vt:lpwstr>_Toc528684467</vt:lpwstr>
      </vt:variant>
      <vt:variant>
        <vt:i4>1114161</vt:i4>
      </vt:variant>
      <vt:variant>
        <vt:i4>38</vt:i4>
      </vt:variant>
      <vt:variant>
        <vt:i4>0</vt:i4>
      </vt:variant>
      <vt:variant>
        <vt:i4>5</vt:i4>
      </vt:variant>
      <vt:variant>
        <vt:lpwstr/>
      </vt:variant>
      <vt:variant>
        <vt:lpwstr>_Toc528684466</vt:lpwstr>
      </vt:variant>
      <vt:variant>
        <vt:i4>1114161</vt:i4>
      </vt:variant>
      <vt:variant>
        <vt:i4>35</vt:i4>
      </vt:variant>
      <vt:variant>
        <vt:i4>0</vt:i4>
      </vt:variant>
      <vt:variant>
        <vt:i4>5</vt:i4>
      </vt:variant>
      <vt:variant>
        <vt:lpwstr/>
      </vt:variant>
      <vt:variant>
        <vt:lpwstr>_Toc528684465</vt:lpwstr>
      </vt:variant>
      <vt:variant>
        <vt:i4>1114161</vt:i4>
      </vt:variant>
      <vt:variant>
        <vt:i4>32</vt:i4>
      </vt:variant>
      <vt:variant>
        <vt:i4>0</vt:i4>
      </vt:variant>
      <vt:variant>
        <vt:i4>5</vt:i4>
      </vt:variant>
      <vt:variant>
        <vt:lpwstr/>
      </vt:variant>
      <vt:variant>
        <vt:lpwstr>_Toc528684464</vt:lpwstr>
      </vt:variant>
      <vt:variant>
        <vt:i4>1114161</vt:i4>
      </vt:variant>
      <vt:variant>
        <vt:i4>29</vt:i4>
      </vt:variant>
      <vt:variant>
        <vt:i4>0</vt:i4>
      </vt:variant>
      <vt:variant>
        <vt:i4>5</vt:i4>
      </vt:variant>
      <vt:variant>
        <vt:lpwstr/>
      </vt:variant>
      <vt:variant>
        <vt:lpwstr>_Toc528684463</vt:lpwstr>
      </vt:variant>
      <vt:variant>
        <vt:i4>1114161</vt:i4>
      </vt:variant>
      <vt:variant>
        <vt:i4>26</vt:i4>
      </vt:variant>
      <vt:variant>
        <vt:i4>0</vt:i4>
      </vt:variant>
      <vt:variant>
        <vt:i4>5</vt:i4>
      </vt:variant>
      <vt:variant>
        <vt:lpwstr/>
      </vt:variant>
      <vt:variant>
        <vt:lpwstr>_Toc528684462</vt:lpwstr>
      </vt:variant>
      <vt:variant>
        <vt:i4>1572915</vt:i4>
      </vt:variant>
      <vt:variant>
        <vt:i4>20</vt:i4>
      </vt:variant>
      <vt:variant>
        <vt:i4>0</vt:i4>
      </vt:variant>
      <vt:variant>
        <vt:i4>5</vt:i4>
      </vt:variant>
      <vt:variant>
        <vt:lpwstr/>
      </vt:variant>
      <vt:variant>
        <vt:lpwstr>_Toc528683684</vt:lpwstr>
      </vt:variant>
      <vt:variant>
        <vt:i4>1572915</vt:i4>
      </vt:variant>
      <vt:variant>
        <vt:i4>17</vt:i4>
      </vt:variant>
      <vt:variant>
        <vt:i4>0</vt:i4>
      </vt:variant>
      <vt:variant>
        <vt:i4>5</vt:i4>
      </vt:variant>
      <vt:variant>
        <vt:lpwstr/>
      </vt:variant>
      <vt:variant>
        <vt:lpwstr>_Toc528683683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2019-02-16T04:10:00Z</dcterms:created>
  <dcterms:modified xsi:type="dcterms:W3CDTF">2019-02-16T04:11:00Z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AuthorIds_UIVersion_512">
    <vt:lpwstr>179</vt:lpwstr>
  </property>
  <property fmtid="{D5CDD505-2E9C-101B-9397-08002B2CF9AE}" pid="4" name="TaxKeyword">
    <vt:lpwstr/>
  </property>
  <property fmtid="{D5CDD505-2E9C-101B-9397-08002B2CF9AE}" pid="5" name="AuthorIds_UIVersion_2048">
    <vt:lpwstr>179</vt:lpwstr>
  </property>
  <property fmtid="{D5CDD505-2E9C-101B-9397-08002B2CF9AE}" pid="6" name="EriCOLLCountry">
    <vt:lpwstr/>
  </property>
  <property fmtid="{D5CDD505-2E9C-101B-9397-08002B2CF9AE}" pid="7" name="EriCOLLCompetence">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edf653d7-be94-4ac9-bc63-5f5b4db07dc2</vt:lpwstr>
  </property>
  <property fmtid="{D5CDD505-2E9C-101B-9397-08002B2CF9AE}" pid="14" name="AuthorIds_UIVersion_1024">
    <vt:lpwstr>256,179</vt:lpwstr>
  </property>
  <property fmtid="{D5CDD505-2E9C-101B-9397-08002B2CF9AE}" pid="15" name="EriCOLLProjects">
    <vt:lpwstr/>
  </property>
  <property fmtid="{D5CDD505-2E9C-101B-9397-08002B2CF9AE}" pid="16" name="AuthorIds_UIVersion_1536">
    <vt:lpwstr>179</vt:lpwstr>
  </property>
  <property fmtid="{D5CDD505-2E9C-101B-9397-08002B2CF9AE}" pid="17" name="EriCOLLProcess">
    <vt:lpwstr/>
  </property>
</Properties>
</file>